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jc w:val="both"/>
        <w:rPr>
          <w:lang w:val="en-US"/>
        </w:rPr>
      </w:pPr>
      <w:r>
        <w:rPr>
          <w:lang w:val="en-US"/>
        </w:rPr>
      </w:r>
      <w:bookmarkStart w:id="0" w:name="_GoBack"/>
      <w:bookmarkStart w:id="1" w:name="_GoBack"/>
      <w:bookmarkEnd w:id="1"/>
    </w:p>
    <w:p>
      <w:pPr>
        <w:pStyle w:val="ConsPlusNormal"/>
        <w:jc w:val="both"/>
        <w:rPr/>
      </w:pPr>
      <w:r>
        <w:rPr/>
      </w:r>
    </w:p>
    <w:p>
      <w:pPr>
        <w:pStyle w:val="ConsPlusNormal"/>
        <w:jc w:val="both"/>
        <w:rPr/>
      </w:pPr>
      <w:r>
        <w:rPr/>
      </w:r>
    </w:p>
    <w:p>
      <w:pPr>
        <w:pStyle w:val="ConsPlusNormal"/>
        <w:jc w:val="both"/>
        <w:rPr/>
      </w:pPr>
      <w:r>
        <w:rPr/>
      </w:r>
    </w:p>
    <w:p>
      <w:pPr>
        <w:pStyle w:val="ConsPlus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eastAsiaTheme="minorEastAsia"/>
          <w:color w:val="auto"/>
          <w:kern w:val="0"/>
          <w:sz w:val="20"/>
          <w:szCs w:val="22"/>
          <w:lang w:val="ru-RU" w:eastAsia="ru-RU" w:bidi="ar-SA"/>
        </w:rPr>
        <w:t>Утвержден</w:t>
      </w:r>
    </w:p>
    <w:p>
      <w:pPr>
        <w:pStyle w:val="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 xml:space="preserve">приказом казенного учреждения </w:t>
      </w:r>
    </w:p>
    <w:p>
      <w:pPr>
        <w:pStyle w:val="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 xml:space="preserve">Чувашской Республики </w:t>
      </w:r>
    </w:p>
    <w:p>
      <w:pPr>
        <w:pStyle w:val="Normal"/>
        <w:spacing w:lineRule="auto" w:line="240" w:before="0" w:after="0"/>
        <w:jc w:val="right"/>
        <w:rPr/>
      </w:pPr>
      <w:r>
        <w:rPr>
          <w:rFonts w:eastAsia="" w:cs="Arial" w:ascii="Arial" w:hAnsi="Arial" w:eastAsiaTheme="minorEastAsia"/>
          <w:color w:val="auto"/>
          <w:kern w:val="0"/>
          <w:sz w:val="20"/>
          <w:szCs w:val="22"/>
          <w:lang w:val="ru-RU" w:eastAsia="ru-RU" w:bidi="ar-SA"/>
        </w:rPr>
        <w:t>«</w:t>
      </w:r>
      <w:r>
        <w:rPr>
          <w:rStyle w:val="D6e2e5f2eee2eee5e2fbe4e5ebe5ede8e5e4ebffd2e5eaf1f2"/>
          <w:rFonts w:eastAsia="" w:cs="Arial" w:ascii="Arial" w:hAnsi="Arial" w:eastAsiaTheme="minorEastAsia"/>
          <w:color w:val="auto"/>
          <w:kern w:val="0"/>
          <w:sz w:val="20"/>
          <w:szCs w:val="22"/>
          <w:lang w:val="ru-RU" w:eastAsia="ru-RU" w:bidi="ar-SA"/>
        </w:rPr>
        <w:t xml:space="preserve">Республиканский центр </w:t>
      </w:r>
    </w:p>
    <w:p>
      <w:pPr>
        <w:pStyle w:val="Normal"/>
        <w:spacing w:lineRule="auto" w:line="240" w:before="0" w:after="0"/>
        <w:jc w:val="right"/>
        <w:rPr/>
      </w:pPr>
      <w:r>
        <w:rPr>
          <w:rStyle w:val="D6e2e5f2eee2eee5e2fbe4e5ebe5ede8e5e4ebffd2e5eaf1f2"/>
          <w:rFonts w:eastAsia="" w:cs="Arial" w:ascii="Arial" w:hAnsi="Arial" w:eastAsiaTheme="minorEastAsia"/>
          <w:color w:val="auto"/>
          <w:kern w:val="0"/>
          <w:sz w:val="20"/>
          <w:szCs w:val="22"/>
          <w:lang w:val="ru-RU" w:eastAsia="ru-RU" w:bidi="ar-SA"/>
        </w:rPr>
        <w:t>бухгалтерского учета</w:t>
      </w:r>
      <w:r>
        <w:rPr>
          <w:rFonts w:eastAsia="" w:cs="Arial" w:ascii="Arial" w:hAnsi="Arial" w:eastAsiaTheme="minorEastAsia"/>
          <w:color w:val="auto"/>
          <w:kern w:val="0"/>
          <w:sz w:val="20"/>
          <w:szCs w:val="22"/>
          <w:lang w:val="ru-RU" w:eastAsia="ru-RU" w:bidi="ar-SA"/>
        </w:rPr>
        <w:t>»</w:t>
      </w:r>
    </w:p>
    <w:p>
      <w:pPr>
        <w:pStyle w:val="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от 01.03.2023 № 24</w:t>
      </w:r>
    </w:p>
    <w:p>
      <w:pPr>
        <w:pStyle w:val="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(приложение № 1)</w:t>
      </w:r>
    </w:p>
    <w:p>
      <w:pPr>
        <w:pStyle w:val="ConsPlusNormal"/>
        <w:jc w:val="both"/>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r>
        <w:rPr/>
      </w:r>
    </w:p>
    <w:p>
      <w:pPr>
        <w:pStyle w:val="ConsPlusTitle"/>
        <w:jc w:val="center"/>
        <w:rPr/>
      </w:pPr>
      <w:bookmarkStart w:id="2" w:name="P45"/>
      <w:bookmarkEnd w:id="2"/>
      <w:r>
        <w:rPr/>
        <w:t>ПЛАН</w:t>
      </w:r>
    </w:p>
    <w:p>
      <w:pPr>
        <w:sectPr>
          <w:type w:val="nextPage"/>
          <w:pgSz w:w="11906" w:h="16838"/>
          <w:pgMar w:left="1701" w:right="850" w:gutter="0" w:header="0" w:top="1134" w:footer="0" w:bottom="1134"/>
          <w:pgNumType w:fmt="decimal"/>
          <w:formProt w:val="false"/>
          <w:textDirection w:val="lrTb"/>
          <w:docGrid w:type="default" w:linePitch="360" w:charSpace="24576"/>
        </w:sectPr>
        <w:pStyle w:val="ConsPlusTitle"/>
        <w:jc w:val="center"/>
        <w:rPr/>
      </w:pPr>
      <w:r>
        <w:rPr/>
        <w:t xml:space="preserve">МЕРОПРИЯТИЙ ("ДОРОЖНАЯ КАРТА") ПО ПЕРЕДАЧЕ АВТОНОМНЫМИ, БЮДЖЕТНЫМИ УЧРЕЖДЕНИЯМИ ЧУВАШСКОЙ РЕСПУБЛИКИ КАЗЕННОМУ УЧРЕЖДЕНИЮ ЧУВАШСКОЙ РЕСПУБЛИКИ "РЕСПУБЛИКАНСКИЙ ЦЕНТР БУХГАЛТЕРСКОГО УЧЕТА" БУХГАЛТЕРСКОГО ОБСЛУЖИВАНИЯ (ОПЕРАЦИИ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 </w:t>
      </w:r>
    </w:p>
    <w:tbl>
      <w:tblPr>
        <w:tblW w:w="13575"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453"/>
        <w:gridCol w:w="4253"/>
        <w:gridCol w:w="2947"/>
        <w:gridCol w:w="2916"/>
        <w:gridCol w:w="3006"/>
      </w:tblGrid>
      <w:tr>
        <w:trPr/>
        <w:tc>
          <w:tcPr>
            <w:tcW w:w="45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N</w:t>
            </w:r>
          </w:p>
          <w:p>
            <w:pPr>
              <w:pStyle w:val="ConsPlusNormal"/>
              <w:widowControl w:val="false"/>
              <w:jc w:val="center"/>
              <w:rPr/>
            </w:pPr>
            <w:r>
              <w:rPr/>
              <w:t>п/п</w:t>
            </w:r>
          </w:p>
        </w:tc>
        <w:tc>
          <w:tcPr>
            <w:tcW w:w="425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мероприятий</w:t>
            </w:r>
          </w:p>
        </w:tc>
        <w:tc>
          <w:tcPr>
            <w:tcW w:w="2947"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Ожидаемый результат</w:t>
            </w:r>
          </w:p>
        </w:tc>
        <w:tc>
          <w:tcPr>
            <w:tcW w:w="291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Срок исполнения</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Ответственный исполнитель (соисполнители)</w:t>
            </w:r>
          </w:p>
        </w:tc>
      </w:tr>
      <w:tr>
        <w:trPr/>
        <w:tc>
          <w:tcPr>
            <w:tcW w:w="45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w:t>
            </w:r>
          </w:p>
        </w:tc>
        <w:tc>
          <w:tcPr>
            <w:tcW w:w="425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w:t>
            </w:r>
          </w:p>
        </w:tc>
        <w:tc>
          <w:tcPr>
            <w:tcW w:w="2947"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3</w:t>
            </w:r>
          </w:p>
        </w:tc>
        <w:tc>
          <w:tcPr>
            <w:tcW w:w="291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4</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5</w:t>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Создание Рабочей группы по передаче бухгалтерского обслуживания</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Приказ о создании Рабочей группы</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 60 календарных дней до наступления срока передачи бухгалтерского обслуживания</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Подписание с автономным учреждением Чувашской Республики "Центр информационных технологий" Министерства цифрового развития, информационной политики и массовых коммуникаций Чувашской Республики Соглашения о взаимодействии и доступе к единой централизованной информационной системе бюджетного (бухгалтерского) учета и отчетности (далее - ЕЦИС)</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Соглашение о взаимодействии подписано</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 позднее 5 календарных дней до даты предоставления доступа к ЕЦИС</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3</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Оформление письменного согласия сотрудников автономных и бюджетных учреждений Чувашской Республики на обработку персональных данных КУ  "Республиканский центр бухгалтерского учета"</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Получение согласия сотрудников автономных и бюджетных учреждений Чувашской Республики</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 45 календарных дней до даты передачи бухгалтерского обслуживания</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4</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Предоставление КУ "Республиканский центр бухгалтерского учета" доступа к информационным областям (базам) сегмента ЕЦИС (далее - информационные области ЕЦИС) автономных и бюджетных учреждений Чувашской Республики</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КУ "Республиканский центр бухгалтерского учета" предоставлен доступ</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 45 календарных дней до даты передачи бухгалтерского обслуживания</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5</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Анализ информационных областей ЕЦИС автономных и бюджетных учреждений Чувашской Республики</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 результатах проведенного анализа информационных областей</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 течение 15 календарных дней с даты предоставления КУ "Республиканский центр бухгалтерского учета" доступа к информационным областям ЕЦИС автономных и бюджетных учреждений Чувашской Республики</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6</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Анализ организации ведения бухгалтерского учета и формирования отчетности автономными и бюджетными учреждениями Чувашской Республики</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 результатах проведенного анализа</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 течение 15 календарных дней с даты предоставления КУ "Республиканский центр бухгалтерского учета" доступа к базам данных и программному обеспечению</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r>
          </w:p>
        </w:tc>
      </w:tr>
      <w:tr>
        <w:trPr/>
        <w:tc>
          <w:tcPr>
            <w:tcW w:w="45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7</w:t>
            </w:r>
          </w:p>
        </w:tc>
        <w:tc>
          <w:tcPr>
            <w:tcW w:w="425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Устранение недостатков, выявленных по результатам анализа информационных областей ЕЦИС автономных и бюджетных учреждений Чувашской Республики</w:t>
            </w:r>
          </w:p>
        </w:tc>
        <w:tc>
          <w:tcPr>
            <w:tcW w:w="2947"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об устранении выявленных недостатков</w:t>
            </w:r>
          </w:p>
        </w:tc>
        <w:tc>
          <w:tcPr>
            <w:tcW w:w="291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 течение 10 дней со дня выявления недостатков</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8</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Подписание договора между автономными и бюджетными учреждениями Чувашской Республики и КУ "Республиканский центр бухгалтерского учета" на оказание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 в соответствующие государственные (муниципальные) органы (далее - бухгалтерское обслуживание, Договор).</w:t>
            </w:r>
          </w:p>
          <w:p>
            <w:pPr>
              <w:pStyle w:val="ConsPlusNormal"/>
              <w:widowControl w:val="false"/>
              <w:jc w:val="both"/>
              <w:rPr/>
            </w:pPr>
            <w:r>
              <w:rPr/>
              <w:t>В случае, если бухгалтерское обслуживание автономных и бюджетных учреждений Чувашской Республики на дату их передачи осуществлялись иной организацией, выполнение указанных функций такой организацией прекращается (завершается). Автономными и бюджетными учреждениями Чувашской Республики в течение месяца с даты прекращения (завершения) бухгалтерского обслуживания иной организацией обеспечивается передача в КУ "Республиканский центр бухгалтерского учета" документов (первичных учетных документов, регистров, отчетности и т.п.), необходимых для  бухгалтерского обслуживания</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Договор подписан</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 15 календарных дней до даты передачи  бухгалтерского обслуживания</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9</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Организация технологического обеспечения передачи КУ  "Республиканский центр бухгалтерского учета" бухгалтерского обслуживания</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Технологическое обеспечение организовано</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 позднее 30 календарных дней до даты передачи бухгалтерского обслуживания</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r>
          </w:p>
        </w:tc>
      </w:tr>
      <w:tr>
        <w:trPr/>
        <w:tc>
          <w:tcPr>
            <w:tcW w:w="45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sz w:val="18"/>
                <w:szCs w:val="18"/>
              </w:rPr>
              <w:t>10</w:t>
            </w:r>
          </w:p>
        </w:tc>
        <w:tc>
          <w:tcPr>
            <w:tcW w:w="425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Внесение изменений в правовые акты автономных и бюджетных учреждений Чувашской Республики, регулирующих отношения, связанные с передаваемыми  функциями</w:t>
            </w:r>
          </w:p>
        </w:tc>
        <w:tc>
          <w:tcPr>
            <w:tcW w:w="2947"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Внесены необходимые изменения в правовые акты автономных и бюджетных учреждений Чувашской Республики</w:t>
            </w:r>
          </w:p>
        </w:tc>
        <w:tc>
          <w:tcPr>
            <w:tcW w:w="291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 позднее 10 календарных дней до даты передачи бухгалтерского обслуживания</w:t>
            </w:r>
          </w:p>
        </w:tc>
        <w:tc>
          <w:tcPr>
            <w:tcW w:w="300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11</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Заключение договоров-поручений на обработку персональных данных третьим лицом между автономным / бюджетным учреждением Чувашской Республики и КУ  "Республиканский центр бухгалтерского учета" по персональным данным, которые доступны автономному / бюджетному учреждению Чувашской Республики</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Договор - поручение на обработку персональных данных третьим лицом между автономным / бюджетным учреждением Чувашской Республики и КУ  "Республиканский центр бухгалтерского учета" заключен</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 позднее 30 календарных дней до даты передачи бухгалтерского обслуживания</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12</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Включение в карточки образцов подписей автономных и бюджетных учреждений Чувашской Республики представителей КУ "Республиканский центр бухгалтерского учета"</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Представители КУ  "Республиканский центр бухгалтерского учета" включены в карточки образцов подписей</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 позднее дня передачи бухгалтерского обслуживания</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13</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Оформление доверенностей на работников КУ "Республиканский центр бухгалтерского учета" по представлению интересов автономных и бюджетных учреждений Чувашской Республики в налоговых органах, органах статистики, органах управления государственными внебюджетными фондами Российской Федерации и иных государственных органах</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Доверенности оформлены</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 позднее чем через 7 календарных дней после подписания Договора</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14</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Передача автономными и бюджетными учреждениями Чувашской Республики документов (копии учредительных документов, первичные учетные документы, регистры, отчетность и т.п.), необходимых КУ "Республиканский центр бухгалтерского учета" с целью осуществления им бухгалтерского обслуживания</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Документы переданы, акт приема-передачи</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 течение 5 рабочих дней с даты подписания Договора</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r>
        <w:trPr/>
        <w:tc>
          <w:tcPr>
            <w:tcW w:w="4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15</w:t>
            </w:r>
          </w:p>
        </w:tc>
        <w:tc>
          <w:tcPr>
            <w:tcW w:w="4253"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Обеспечение автономными и бюджетными учреждениями Чувашской Республики документирования фактов хозяйственной жизни и своевременной передачи первичных учетных документов КУ  "Республиканский центр бухгалтерского учета" с целью осуществления им бухгалтерского обслуживания</w:t>
            </w:r>
          </w:p>
        </w:tc>
        <w:tc>
          <w:tcPr>
            <w:tcW w:w="2947"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Документирование фактов хозяйственной жизни автономных и бюджетных учреждений Чувашской Республики;</w:t>
            </w:r>
          </w:p>
          <w:p>
            <w:pPr>
              <w:pStyle w:val="ConsPlusNormal"/>
              <w:widowControl w:val="false"/>
              <w:jc w:val="both"/>
              <w:rPr/>
            </w:pPr>
            <w:r>
              <w:rPr/>
              <w:t>своевременная передача первичных учетных документов в КУ "Республиканский центр бухгалтерского учета" с целью исполнения им бухгалтерского обслуживания</w:t>
            </w:r>
          </w:p>
        </w:tc>
        <w:tc>
          <w:tcPr>
            <w:tcW w:w="2916"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 даты начала бухгалтерского обслуживания, ежедневно</w:t>
            </w:r>
          </w:p>
        </w:tc>
        <w:tc>
          <w:tcPr>
            <w:tcW w:w="3006" w:type="dxa"/>
            <w:tcBorders>
              <w:top w:val="single" w:sz="4" w:space="0" w:color="000000"/>
              <w:left w:val="single" w:sz="4" w:space="0" w:color="000000"/>
              <w:right w:val="single" w:sz="4" w:space="0" w:color="000000"/>
            </w:tcBorders>
          </w:tcPr>
          <w:p>
            <w:pPr>
              <w:pStyle w:val="ConsPlusNormal"/>
              <w:widowControl w:val="false"/>
              <w:jc w:val="both"/>
              <w:rPr/>
            </w:pPr>
            <w:r>
              <w:rPr/>
              <w:t>Автономные и бюджетные учреждения Чувашской Республики</w:t>
            </w:r>
          </w:p>
        </w:tc>
      </w:tr>
      <w:tr>
        <w:trPr/>
        <w:tc>
          <w:tcPr>
            <w:tcW w:w="4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4253"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47"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2916" w:type="dxa"/>
            <w:vMerge w:val="continue"/>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3006" w:type="dxa"/>
            <w:tcBorders>
              <w:left w:val="single" w:sz="4" w:space="0" w:color="000000"/>
              <w:bottom w:val="single" w:sz="4" w:space="0" w:color="000000"/>
              <w:right w:val="single" w:sz="4" w:space="0" w:color="000000"/>
            </w:tcBorders>
          </w:tcPr>
          <w:p>
            <w:pPr>
              <w:pStyle w:val="ConsPlusNormal"/>
              <w:widowControl w:val="false"/>
              <w:jc w:val="both"/>
              <w:rPr/>
            </w:pPr>
            <w:r>
              <w:rPr/>
              <w:t>КУ "Республиканский центр бухгалтерского учета"</w:t>
            </w:r>
          </w:p>
        </w:tc>
      </w:tr>
    </w:tbl>
    <w:p>
      <w:pPr>
        <w:sectPr>
          <w:type w:val="nextPage"/>
          <w:pgSz w:orient="landscape" w:w="16838" w:h="11906"/>
          <w:pgMar w:left="1134" w:right="1134" w:gutter="0" w:header="0" w:top="1701" w:footer="0" w:bottom="850"/>
          <w:pgNumType w:fmt="decimal"/>
          <w:formProt w:val="false"/>
          <w:titlePg/>
          <w:textDirection w:val="lrTb"/>
          <w:docGrid w:type="default" w:linePitch="100" w:charSpace="24576"/>
        </w:sectPr>
        <w:pStyle w:val="ConsPlusNormal"/>
        <w:rPr/>
      </w:pPr>
      <w:r>
        <w:rPr/>
      </w:r>
    </w:p>
    <w:p>
      <w:pPr>
        <w:pStyle w:val="ConsPlusNormal"/>
        <w:jc w:val="both"/>
        <w:rPr/>
      </w:pPr>
      <w:r>
        <w:rPr/>
      </w:r>
    </w:p>
    <w:p>
      <w:pPr>
        <w:pStyle w:val="ConsPlus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eastAsiaTheme="minorEastAsia"/>
          <w:color w:val="auto"/>
          <w:kern w:val="0"/>
          <w:sz w:val="20"/>
          <w:szCs w:val="22"/>
          <w:lang w:val="ru-RU" w:eastAsia="ru-RU" w:bidi="ar-SA"/>
        </w:rPr>
        <w:t>Утвержден</w:t>
      </w:r>
    </w:p>
    <w:p>
      <w:pPr>
        <w:pStyle w:val="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 xml:space="preserve">приказом казенного учреждения </w:t>
      </w:r>
    </w:p>
    <w:p>
      <w:pPr>
        <w:pStyle w:val="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 xml:space="preserve">Чувашской Республики </w:t>
      </w:r>
    </w:p>
    <w:p>
      <w:pPr>
        <w:pStyle w:val="Normal"/>
        <w:spacing w:lineRule="auto" w:line="240" w:before="0" w:after="0"/>
        <w:jc w:val="right"/>
        <w:rPr/>
      </w:pPr>
      <w:r>
        <w:rPr>
          <w:rFonts w:eastAsia="" w:cs="Arial" w:ascii="Arial" w:hAnsi="Arial" w:eastAsiaTheme="minorEastAsia"/>
          <w:color w:val="auto"/>
          <w:kern w:val="0"/>
          <w:sz w:val="20"/>
          <w:szCs w:val="22"/>
          <w:lang w:val="ru-RU" w:eastAsia="ru-RU" w:bidi="ar-SA"/>
        </w:rPr>
        <w:t>«</w:t>
      </w:r>
      <w:r>
        <w:rPr>
          <w:rStyle w:val="D6e2e5f2eee2eee5e2fbe4e5ebe5ede8e5e4ebffd2e5eaf1f2"/>
          <w:rFonts w:eastAsia="" w:cs="Arial" w:ascii="Arial" w:hAnsi="Arial" w:eastAsiaTheme="minorEastAsia"/>
          <w:color w:val="auto"/>
          <w:kern w:val="0"/>
          <w:sz w:val="20"/>
          <w:szCs w:val="22"/>
          <w:lang w:val="ru-RU" w:eastAsia="ru-RU" w:bidi="ar-SA"/>
        </w:rPr>
        <w:t xml:space="preserve">Республиканский центр </w:t>
      </w:r>
    </w:p>
    <w:p>
      <w:pPr>
        <w:pStyle w:val="Normal"/>
        <w:spacing w:lineRule="auto" w:line="240" w:before="0" w:after="0"/>
        <w:jc w:val="right"/>
        <w:rPr/>
      </w:pPr>
      <w:r>
        <w:rPr>
          <w:rStyle w:val="D6e2e5f2eee2eee5e2fbe4e5ebe5ede8e5e4ebffd2e5eaf1f2"/>
          <w:rFonts w:eastAsia="" w:cs="Arial" w:ascii="Arial" w:hAnsi="Arial" w:eastAsiaTheme="minorEastAsia"/>
          <w:color w:val="auto"/>
          <w:kern w:val="0"/>
          <w:sz w:val="20"/>
          <w:szCs w:val="22"/>
          <w:lang w:val="ru-RU" w:eastAsia="ru-RU" w:bidi="ar-SA"/>
        </w:rPr>
        <w:t>бухгалтерского учета</w:t>
      </w:r>
      <w:r>
        <w:rPr>
          <w:rFonts w:eastAsia="" w:cs="Arial" w:ascii="Arial" w:hAnsi="Arial" w:eastAsiaTheme="minorEastAsia"/>
          <w:color w:val="auto"/>
          <w:kern w:val="0"/>
          <w:sz w:val="20"/>
          <w:szCs w:val="22"/>
          <w:lang w:val="ru-RU" w:eastAsia="ru-RU" w:bidi="ar-SA"/>
        </w:rPr>
        <w:t>»</w:t>
      </w:r>
    </w:p>
    <w:p>
      <w:pPr>
        <w:pStyle w:val="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от 01.03.2023 № 24</w:t>
      </w:r>
    </w:p>
    <w:p>
      <w:pPr>
        <w:pStyle w:val="Normal"/>
        <w:spacing w:lineRule="auto" w:line="240" w:before="0" w:after="0"/>
        <w:jc w:val="right"/>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(приложение № 2)</w:t>
      </w:r>
    </w:p>
    <w:p>
      <w:pPr>
        <w:pStyle w:val="ConsPlusNormal"/>
        <w:jc w:val="both"/>
        <w:rPr/>
      </w:pPr>
      <w:r>
        <w:rPr/>
      </w:r>
    </w:p>
    <w:p>
      <w:pPr>
        <w:pStyle w:val="ConsPlusTitle"/>
        <w:jc w:val="center"/>
        <w:rPr/>
      </w:pPr>
      <w:bookmarkStart w:id="3" w:name="P196"/>
      <w:bookmarkEnd w:id="3"/>
      <w:r>
        <w:rPr/>
        <w:t>РЕГЛАМЕНТ</w:t>
      </w:r>
    </w:p>
    <w:p>
      <w:pPr>
        <w:pStyle w:val="ConsPlusTitle"/>
        <w:jc w:val="center"/>
        <w:rPr/>
      </w:pPr>
      <w:r>
        <w:rPr/>
        <w:t>ВЗАИМОДЕЙСТВИЯ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В СЛУЧАЯХ ЗАКЛЮЧЕНИЯ ДОГОВОРОВ ОБ ОКАЗАНИИ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w:t>
      </w:r>
    </w:p>
    <w:p>
      <w:pPr>
        <w:pStyle w:val="ConsPlusTitle"/>
        <w:jc w:val="center"/>
        <w:rPr/>
      </w:pPr>
      <w:r>
        <w:rPr/>
        <w:t>В СООТВЕТСТВУЮЩИЕ ГОСУДАРСТВЕННЫЕ (МУНИЦИПАЛЬНЫЕ) ОРГАНЫ</w:t>
      </w:r>
    </w:p>
    <w:p>
      <w:pPr>
        <w:pStyle w:val="ConsPlusNormal"/>
        <w:spacing w:before="0" w:after="1"/>
        <w:rPr/>
      </w:pPr>
      <w:r>
        <w:rPr/>
      </w:r>
    </w:p>
    <w:p>
      <w:pPr>
        <w:pStyle w:val="ConsPlusNormal"/>
        <w:jc w:val="both"/>
        <w:rPr/>
      </w:pPr>
      <w:r>
        <w:rPr/>
      </w:r>
    </w:p>
    <w:p>
      <w:pPr>
        <w:pStyle w:val="ConsPlusTitle"/>
        <w:numPr>
          <w:ilvl w:val="0"/>
          <w:numId w:val="0"/>
        </w:numPr>
        <w:ind w:left="0" w:hanging="0"/>
        <w:jc w:val="center"/>
        <w:outlineLvl w:val="1"/>
        <w:rPr/>
      </w:pPr>
      <w:r>
        <w:rPr/>
        <w:t>1. Термины и сокращения</w:t>
      </w:r>
    </w:p>
    <w:p>
      <w:pPr>
        <w:pStyle w:val="ConsPlusNormal"/>
        <w:jc w:val="both"/>
        <w:rPr/>
      </w:pPr>
      <w:r>
        <w:rPr/>
      </w:r>
    </w:p>
    <w:p>
      <w:pPr>
        <w:pStyle w:val="ConsPlusNormal"/>
        <w:ind w:firstLine="540"/>
        <w:jc w:val="both"/>
        <w:rPr/>
      </w:pPr>
      <w:r>
        <w:rPr/>
        <w:t>ЦБ - Казенное учреждение Чувашской Республики "Республиканский центр бухгалтерского учета".</w:t>
      </w:r>
    </w:p>
    <w:p>
      <w:pPr>
        <w:pStyle w:val="ConsPlusNormal"/>
        <w:spacing w:before="200" w:after="200"/>
        <w:ind w:firstLine="540"/>
        <w:jc w:val="both"/>
        <w:rPr/>
      </w:pPr>
      <w:r>
        <w:rPr/>
        <w:t>Бухгалтерское обслуживание – осуществление ЦБ операций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ведение ЦБ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обеспечение представления такой отчетности  в соответствующие государственные (муниципальные) органы (далее – ведение бухгалтерского учета) в случаях заключения Договора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на оказание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 в соответствующие государственные (муниципальные) органы (далее – Договор).</w:t>
      </w:r>
    </w:p>
    <w:p>
      <w:pPr>
        <w:pStyle w:val="ConsPlusNormal"/>
        <w:spacing w:before="200" w:after="200"/>
        <w:ind w:firstLine="540"/>
        <w:jc w:val="both"/>
        <w:rPr/>
      </w:pPr>
      <w:r>
        <w:rPr/>
        <w:t>Субъекты централизованного учета - бюджетные, автономные учреждения Чувашской Республики, которые передают ведение бухгалтерского учета в ЦБ на основании Договоров.</w:t>
      </w:r>
    </w:p>
    <w:p>
      <w:pPr>
        <w:pStyle w:val="ConsPlusNormal"/>
        <w:spacing w:before="200" w:after="200"/>
        <w:ind w:firstLine="540"/>
        <w:jc w:val="both"/>
        <w:rPr/>
      </w:pPr>
      <w:r>
        <w:rPr/>
        <w:t>ЕЦИС - Единая централизованная информационная система бюджетного (бухгалтерского) учета и отчетности Чувашской Республики.</w:t>
      </w:r>
    </w:p>
    <w:p>
      <w:pPr>
        <w:pStyle w:val="ConsPlusNormal"/>
        <w:spacing w:before="200" w:after="200"/>
        <w:ind w:firstLine="540"/>
        <w:jc w:val="both"/>
        <w:rPr/>
      </w:pPr>
      <w:r>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ЕЦИС.</w:t>
      </w:r>
    </w:p>
    <w:p>
      <w:pPr>
        <w:pStyle w:val="ConsPlusNormal"/>
        <w:spacing w:before="200" w:after="200"/>
        <w:ind w:firstLine="540"/>
        <w:jc w:val="both"/>
        <w:rPr/>
      </w:pPr>
      <w:r>
        <w:rPr/>
        <w:t>Уполномоченный работник Субъекта централизованного учета - работник Субъекта централизованного учета, на которого в соответствии с приказом Субъекта централизованного учета возложена обязанность по взаимодействию с ЦБ в ЕЦИС с использованием ЭП.</w:t>
      </w:r>
    </w:p>
    <w:p>
      <w:pPr>
        <w:pStyle w:val="ConsPlusNormal"/>
        <w:spacing w:before="200" w:after="200"/>
        <w:ind w:firstLine="540"/>
        <w:jc w:val="both"/>
        <w:rPr/>
      </w:pPr>
      <w:r>
        <w:rPr/>
        <w:t>Уполномоченный работник ЦБ - работник ЦБ, на которого в соответствии с приказом ЦБ возложена обязанность по взаимодействию с Субъектом централизованного учета в ЕЦИС с использованием ЭП.</w:t>
      </w:r>
    </w:p>
    <w:p>
      <w:pPr>
        <w:pStyle w:val="ConsPlusNormal"/>
        <w:spacing w:before="200" w:after="200"/>
        <w:ind w:firstLine="540"/>
        <w:jc w:val="both"/>
        <w:rPr/>
      </w:pPr>
      <w:r>
        <w:rPr/>
        <w:t>Электронный документ - документ, данные которого заполнены в ЕЦИС, подписанный ЭП уполномоченного работника Субъекта централизованного учета и (или) ЦБ, идентичный по содержанию и форме документу, оформленному на бумажном носителе информации.</w:t>
      </w:r>
    </w:p>
    <w:p>
      <w:pPr>
        <w:pStyle w:val="ConsPlusNormal"/>
        <w:spacing w:before="200" w:after="200"/>
        <w:ind w:firstLine="540"/>
        <w:jc w:val="both"/>
        <w:rPr/>
      </w:pPr>
      <w:r>
        <w:rPr/>
        <w:t>Скан-образ - документ в ЕЦИС, полученный путем сканирования документа, оформленного на бумажном носителе информации, подписанный ЭП уполномоченного работника Субъекта централизованного учета и (или) ЦБ.</w:t>
      </w:r>
    </w:p>
    <w:p>
      <w:pPr>
        <w:pStyle w:val="ConsPlusNormal"/>
        <w:spacing w:before="200" w:after="200"/>
        <w:ind w:firstLine="540"/>
        <w:jc w:val="both"/>
        <w:rPr/>
      </w:pPr>
      <w:r>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pPr>
        <w:pStyle w:val="ConsPlusNormal"/>
        <w:jc w:val="both"/>
        <w:rPr/>
      </w:pPr>
      <w:r>
        <w:rPr/>
      </w:r>
    </w:p>
    <w:p>
      <w:pPr>
        <w:pStyle w:val="ConsPlusTitle"/>
        <w:numPr>
          <w:ilvl w:val="0"/>
          <w:numId w:val="0"/>
        </w:numPr>
        <w:ind w:left="0" w:hanging="0"/>
        <w:jc w:val="center"/>
        <w:outlineLvl w:val="1"/>
        <w:rPr/>
      </w:pPr>
      <w:r>
        <w:rPr/>
        <w:t>2. Общие положения</w:t>
      </w:r>
    </w:p>
    <w:p>
      <w:pPr>
        <w:pStyle w:val="ConsPlusNormal"/>
        <w:jc w:val="both"/>
        <w:rPr/>
      </w:pPr>
      <w:r>
        <w:rPr/>
      </w:r>
    </w:p>
    <w:p>
      <w:pPr>
        <w:pStyle w:val="ConsPlusNormal"/>
        <w:ind w:firstLine="540"/>
        <w:jc w:val="both"/>
        <w:rPr/>
      </w:pPr>
      <w:r>
        <w:rPr/>
        <w:t>2.1. Настоящий Регламент разработан в целях упорядочивания взаимодействия Субъекта централизованного учета и ЦБ (далее - Стороны) в процессе бухгалтерского обслуживания.</w:t>
      </w:r>
    </w:p>
    <w:p>
      <w:pPr>
        <w:pStyle w:val="ConsPlusNormal"/>
        <w:spacing w:before="200" w:after="200"/>
        <w:ind w:firstLine="540"/>
        <w:jc w:val="both"/>
        <w:rPr/>
      </w:pPr>
      <w:r>
        <w:rPr/>
        <w:t xml:space="preserve">2.2. Взаимодействие Субъекта централизованного учета и ЦБ осуществляется в ЕЦИС в соответствии с </w:t>
      </w:r>
      <w:hyperlink w:anchor="P479">
        <w:r>
          <w:rPr/>
          <w:t>распределением</w:t>
        </w:r>
      </w:hyperlink>
      <w:r>
        <w:rPr/>
        <w:t xml:space="preserve"> функций, перечень которых определен в Приложении N 1 к настоящему Регламенту.</w:t>
      </w:r>
    </w:p>
    <w:p>
      <w:pPr>
        <w:pStyle w:val="ConsPlusNormal"/>
        <w:jc w:val="both"/>
        <w:rPr/>
      </w:pPr>
      <w:r>
        <w:rPr/>
      </w:r>
    </w:p>
    <w:p>
      <w:pPr>
        <w:pStyle w:val="ConsPlusTitle"/>
        <w:numPr>
          <w:ilvl w:val="0"/>
          <w:numId w:val="0"/>
        </w:numPr>
        <w:ind w:left="0" w:hanging="0"/>
        <w:jc w:val="center"/>
        <w:outlineLvl w:val="1"/>
        <w:rPr/>
      </w:pPr>
      <w:r>
        <w:rPr/>
        <w:t>3. Организация взаимодействия</w:t>
      </w:r>
    </w:p>
    <w:p>
      <w:pPr>
        <w:pStyle w:val="ConsPlusNormal"/>
        <w:jc w:val="both"/>
        <w:rPr/>
      </w:pPr>
      <w:r>
        <w:rPr/>
      </w:r>
    </w:p>
    <w:p>
      <w:pPr>
        <w:pStyle w:val="ConsPlusNormal"/>
        <w:ind w:firstLine="540"/>
        <w:jc w:val="both"/>
        <w:rPr/>
      </w:pPr>
      <w:r>
        <w:rPr/>
        <w:t xml:space="preserve">3.1. Субъект централизованного учета и ЦБ приказом из числа своих работников назначают уполномоченных работников, которым делегируется право подписи документов, формируемых в рамках выполнения настоящего Регламента. </w:t>
      </w:r>
      <w:hyperlink w:anchor="P689">
        <w:r>
          <w:rPr/>
          <w:t>Перечень</w:t>
        </w:r>
      </w:hyperlink>
      <w:r>
        <w:rPr/>
        <w:t xml:space="preserve"> таких документов и уполномоченных работников определен в Приложении N 2 к настоящему Регламенту.</w:t>
      </w:r>
    </w:p>
    <w:p>
      <w:pPr>
        <w:pStyle w:val="ConsPlusNormal"/>
        <w:spacing w:before="200" w:after="200"/>
        <w:ind w:firstLine="540"/>
        <w:jc w:val="both"/>
        <w:rPr/>
      </w:pPr>
      <w:r>
        <w:rPr/>
        <w:t>3.2. Бухгалтерское обслуживание Субъекта централизованного учета ЦБ осуществляет в ЕЦИС.</w:t>
      </w:r>
    </w:p>
    <w:p>
      <w:pPr>
        <w:pStyle w:val="ConsPlusNormal"/>
        <w:spacing w:before="200" w:after="200"/>
        <w:ind w:firstLine="540"/>
        <w:jc w:val="both"/>
        <w:rPr/>
      </w:pPr>
      <w:r>
        <w:rPr/>
        <w:t>3.3. Предоставление (прекращение) права доступа к ЕЦИС осуществляется в соответствии с настоящим Регламентом.</w:t>
      </w:r>
    </w:p>
    <w:p>
      <w:pPr>
        <w:pStyle w:val="ConsPlusNormal"/>
        <w:spacing w:before="200" w:after="200"/>
        <w:ind w:firstLine="540"/>
        <w:jc w:val="both"/>
        <w:rPr/>
      </w:pPr>
      <w:r>
        <w:rPr/>
        <w:t xml:space="preserve">3.4. Первичные учетные документы передаются Субъектом централизованного учета ЦБ в ЕЦИС в соответствии с графиком документооборота (далее - График), утвержденным приказом ЦБ. </w:t>
      </w:r>
    </w:p>
    <w:p>
      <w:pPr>
        <w:pStyle w:val="ConsPlusNormal"/>
        <w:spacing w:before="200" w:after="200"/>
        <w:ind w:firstLine="540"/>
        <w:jc w:val="both"/>
        <w:rPr/>
      </w:pPr>
      <w:r>
        <w:rPr/>
        <w:t>Ответственность за документы, сформированные ЦБ, несет Уполномоченный работник ЦБ.</w:t>
      </w:r>
    </w:p>
    <w:p>
      <w:pPr>
        <w:pStyle w:val="ConsPlusNormal"/>
        <w:spacing w:before="200" w:after="200"/>
        <w:ind w:firstLine="540"/>
        <w:jc w:val="both"/>
        <w:rPr/>
      </w:pPr>
      <w:r>
        <w:rPr/>
        <w:t>Ответственность за документы, сформированные Субъектом централизованного учета, и переданные для отражения в учете ЦБ, несет Уполномоченный работник Субъекта централизованного учета.</w:t>
      </w:r>
    </w:p>
    <w:p>
      <w:pPr>
        <w:pStyle w:val="ConsPlusNormal"/>
        <w:spacing w:before="200" w:after="200"/>
        <w:ind w:firstLine="540"/>
        <w:jc w:val="both"/>
        <w:rPr/>
      </w:pPr>
      <w:r>
        <w:rPr/>
        <w:t>3.5. Расчеты Субъекта централизованного учета с юридическими и физическими лицами осуществляются в безналичной форме. В случае возмещения понесенных Субъектом централизованного учета расходов, подлежащих возмещению работниками Субъекта централизованного учета, расчеты осуществляются путем внесения наличных денежных средств в кассу Субъекта централизованного учета для дальнейшего внесения на лицевой счет Субъекта централизованного учета.</w:t>
      </w:r>
    </w:p>
    <w:p>
      <w:pPr>
        <w:pStyle w:val="ConsPlusNormal"/>
        <w:spacing w:before="200" w:after="200"/>
        <w:ind w:firstLine="540"/>
        <w:jc w:val="both"/>
        <w:rPr/>
      </w:pPr>
      <w:r>
        <w:rPr/>
        <w:t>3.6. Формирование бухгалтерской (финансовой) отчетности Субъекта централизованного учета осуществляется в программном комплексе "Свод-Смарт".</w:t>
      </w:r>
    </w:p>
    <w:p>
      <w:pPr>
        <w:pStyle w:val="ConsPlusNormal"/>
        <w:jc w:val="both"/>
        <w:rPr/>
      </w:pPr>
      <w:r>
        <w:rPr/>
      </w:r>
    </w:p>
    <w:p>
      <w:pPr>
        <w:pStyle w:val="ConsPlusTitle"/>
        <w:numPr>
          <w:ilvl w:val="0"/>
          <w:numId w:val="0"/>
        </w:numPr>
        <w:ind w:left="0" w:hanging="0"/>
        <w:jc w:val="center"/>
        <w:outlineLvl w:val="1"/>
        <w:rPr/>
      </w:pPr>
      <w:r>
        <w:rPr/>
        <w:t>4. Обязанности Сторон</w:t>
      </w:r>
    </w:p>
    <w:p>
      <w:pPr>
        <w:pStyle w:val="ConsPlusNormal"/>
        <w:jc w:val="both"/>
        <w:rPr/>
      </w:pPr>
      <w:r>
        <w:rPr/>
      </w:r>
    </w:p>
    <w:p>
      <w:pPr>
        <w:pStyle w:val="ConsPlusNormal"/>
        <w:ind w:firstLine="540"/>
        <w:jc w:val="both"/>
        <w:rPr/>
      </w:pPr>
      <w:r>
        <w:rPr/>
        <w:t>4.1. Субъект централизованного учета обязуется:</w:t>
      </w:r>
    </w:p>
    <w:p>
      <w:pPr>
        <w:pStyle w:val="ConsPlusNormal"/>
        <w:spacing w:before="200" w:after="200"/>
        <w:ind w:firstLine="540"/>
        <w:jc w:val="both"/>
        <w:rPr/>
      </w:pPr>
      <w:r>
        <w:rPr/>
        <w:t>4.1.1. Своевременно предоставлять ЦБ необходимую информацию, сведения, первичные учетные документы по согласованным срокам и формам в соответствии с Графиком и условиями Регламента.</w:t>
      </w:r>
    </w:p>
    <w:p>
      <w:pPr>
        <w:pStyle w:val="ConsPlusNormal"/>
        <w:spacing w:before="200" w:after="200"/>
        <w:ind w:firstLine="540"/>
        <w:jc w:val="both"/>
        <w:rPr/>
      </w:pPr>
      <w:r>
        <w:rPr/>
        <w:t>4.1.2. Оформлять все проводимые финансово-хозяйственные операции подтверждающими документами, служащими первичными учетными документами (основанием) для ведения бухгалтерского учета.</w:t>
      </w:r>
    </w:p>
    <w:p>
      <w:pPr>
        <w:pStyle w:val="ConsPlusNormal"/>
        <w:spacing w:before="200" w:after="200"/>
        <w:ind w:firstLine="540"/>
        <w:jc w:val="both"/>
        <w:rPr/>
      </w:pPr>
      <w:r>
        <w:rPr/>
        <w:t xml:space="preserve">4.1.3. Соблюдать требования федеральных законов от 27 июля 2006 г. </w:t>
      </w:r>
      <w:hyperlink r:id="rId2">
        <w:r>
          <w:rPr/>
          <w:t>N 149-ФЗ</w:t>
        </w:r>
      </w:hyperlink>
      <w:r>
        <w:rPr/>
        <w:t xml:space="preserve"> "Об информации, информационных технологиях и о защите информации", от 27 июля 2006 г. </w:t>
      </w:r>
      <w:hyperlink r:id="rId3">
        <w:r>
          <w:rPr/>
          <w:t>N 152-ФЗ</w:t>
        </w:r>
      </w:hyperlink>
      <w:r>
        <w:rPr/>
        <w:t xml:space="preserve"> "О персональных данных", от 6 апреля 2011 г. </w:t>
      </w:r>
      <w:hyperlink r:id="rId4">
        <w:r>
          <w:rPr/>
          <w:t>N 63-ФЗ</w:t>
        </w:r>
      </w:hyperlink>
      <w:r>
        <w:rPr/>
        <w:t xml:space="preserve"> "Об электронной подписи".</w:t>
      </w:r>
    </w:p>
    <w:p>
      <w:pPr>
        <w:pStyle w:val="ConsPlusNormal"/>
        <w:spacing w:before="200" w:after="200"/>
        <w:ind w:firstLine="540"/>
        <w:jc w:val="both"/>
        <w:rPr/>
      </w:pPr>
      <w:r>
        <w:rPr/>
        <w:t>4.1.4. Предоставлять документы для осуществления расходов по лицевым, расчетным счетам в пределах утвержденных планов финансово-хозяйственной деятельности.</w:t>
      </w:r>
    </w:p>
    <w:p>
      <w:pPr>
        <w:pStyle w:val="ConsPlusNormal"/>
        <w:spacing w:before="200" w:after="200"/>
        <w:ind w:firstLine="540"/>
        <w:jc w:val="both"/>
        <w:rPr/>
      </w:pPr>
      <w:r>
        <w:rPr/>
        <w:t>4.1.5. Выдавать представителям ЦБ доверенности, оформленные в соответствии с законодательством Российской Федерации, необходимые для выполнения обязательств в соответствии с Регламентом.</w:t>
      </w:r>
    </w:p>
    <w:p>
      <w:pPr>
        <w:pStyle w:val="ConsPlusNormal"/>
        <w:spacing w:before="200" w:after="200"/>
        <w:ind w:firstLine="540"/>
        <w:jc w:val="both"/>
        <w:rPr/>
      </w:pPr>
      <w:r>
        <w:rPr/>
        <w:t>4.1.6. Предоставлять ЦБ право получения документов по всем лицевым, счетам, открытым в Управлении Федерального казначейства по Чувашской Республике, Министерстве финансов Чувашской Республики, расчетным счетам, открытым в коммерческих банках, а также право отправки и подписания документов второй подписью по лицевым, расчетным счетам, открытым в Управлении Федерального казначейства по Чувашской Республике, Министерстве финансов Чувашской Республики, коммерческих банках.</w:t>
      </w:r>
    </w:p>
    <w:p>
      <w:pPr>
        <w:pStyle w:val="ConsPlusNormal"/>
        <w:spacing w:before="200" w:after="200"/>
        <w:ind w:firstLine="540"/>
        <w:jc w:val="both"/>
        <w:rPr/>
      </w:pPr>
      <w:r>
        <w:rPr/>
        <w:t xml:space="preserve">4.1.7. Получать </w:t>
      </w:r>
      <w:hyperlink w:anchor="P831">
        <w:r>
          <w:rPr/>
          <w:t>согласия</w:t>
        </w:r>
      </w:hyperlink>
      <w:r>
        <w:rPr/>
        <w:t xml:space="preserve"> работников - субъектов персональных данных Субъекта централизованного учета (иных лиц, персональные данные которых обрабатывает Субъект централизованного учета) на передачу персональных данных ЦБ для их обработки по форме согласно Приложению N 3 к настоящему Регламенту.</w:t>
      </w:r>
    </w:p>
    <w:p>
      <w:pPr>
        <w:pStyle w:val="ConsPlusNormal"/>
        <w:spacing w:before="200" w:after="200"/>
        <w:ind w:firstLine="540"/>
        <w:jc w:val="both"/>
        <w:rPr/>
      </w:pPr>
      <w:r>
        <w:rPr/>
        <w:t>4.1.8. Утверждать приказы на проведение инвентаризации имущества и обязательств Субъекта централизованного учета в сроки и в порядке, установленные ЦБ в рамках формирования учетной политики, а также в случаях, когда проведение инвентаризации является обязательным.</w:t>
      </w:r>
    </w:p>
    <w:p>
      <w:pPr>
        <w:pStyle w:val="ConsPlusNormal"/>
        <w:spacing w:before="200" w:after="200"/>
        <w:ind w:firstLine="540"/>
        <w:jc w:val="both"/>
        <w:rPr/>
      </w:pPr>
      <w:r>
        <w:rPr/>
        <w:t>4.1.9. Представлять в установленные нормативными правовыми актами Российской Федерации и нормативными правовыми актами Чувашской Республики сроки:</w:t>
      </w:r>
    </w:p>
    <w:p>
      <w:pPr>
        <w:pStyle w:val="ConsPlusNormal"/>
        <w:spacing w:before="0" w:after="200"/>
        <w:ind w:firstLine="567"/>
        <w:jc w:val="both"/>
        <w:rPr/>
      </w:pPr>
      <w:r>
        <w:rPr/>
        <w:t xml:space="preserve"> </w:t>
      </w:r>
      <w:r>
        <w:rPr/>
        <w:t>- в орган исполнительной власти Чувашской Республики, осуществляющий полномочия учредителя Субъекта централизованной отчетности - месячную, квартальную, годовую бухгалтерскую отчетность;</w:t>
      </w:r>
    </w:p>
    <w:p>
      <w:pPr>
        <w:pStyle w:val="ConsPlusNormal"/>
        <w:ind w:firstLine="567"/>
        <w:jc w:val="both"/>
        <w:rPr/>
      </w:pPr>
      <w:r>
        <w:rPr/>
        <w:t>- размещать необходимую информацию на официальном сайте органа исполнительной власти Чувашской Республики Субъекта централизованного учета, осуществляющего полномочия учредителя Субъекта централизованной отчетности и на сайте bus.gov.ru.</w:t>
      </w:r>
    </w:p>
    <w:p>
      <w:pPr>
        <w:pStyle w:val="ConsPlusNormal"/>
        <w:spacing w:before="200" w:after="200"/>
        <w:ind w:firstLine="540"/>
        <w:jc w:val="both"/>
        <w:rPr/>
      </w:pPr>
      <w:r>
        <w:rPr/>
        <w:t>4.1.10. Обеспечивать идентичность и достоверность электронных документов и скан-образов документов оригиналам первичных учетных документов.</w:t>
      </w:r>
    </w:p>
    <w:p>
      <w:pPr>
        <w:pStyle w:val="ConsPlusNormal"/>
        <w:spacing w:before="200" w:after="200"/>
        <w:ind w:firstLine="540"/>
        <w:jc w:val="both"/>
        <w:rPr/>
      </w:pPr>
      <w:r>
        <w:rPr/>
        <w:t>4.1.11. Осуществлять хранение на бумажных носителях первичных учетных документов, которые переданы посредством ЕЦИС в форме электронных документов и скан-образов документов ЦБ, кроме первичных учетных документов, переданных ЦБ на бумажном носителе.</w:t>
      </w:r>
    </w:p>
    <w:p>
      <w:pPr>
        <w:pStyle w:val="ConsPlusNormal"/>
        <w:spacing w:before="200" w:after="200"/>
        <w:ind w:firstLine="540"/>
        <w:jc w:val="both"/>
        <w:rPr/>
      </w:pPr>
      <w:r>
        <w:rPr/>
        <w:t>4.1.12. Соблюдать сроки подписания первичных учетных документов и иной информации, необходимой для выполнения ЦБ обязанностей по настоящему Регламенту.</w:t>
      </w:r>
    </w:p>
    <w:p>
      <w:pPr>
        <w:pStyle w:val="ConsPlusNormal"/>
        <w:spacing w:before="200" w:after="200"/>
        <w:ind w:firstLine="540"/>
        <w:jc w:val="both"/>
        <w:rPr/>
      </w:pPr>
      <w:r>
        <w:rPr/>
        <w:t>4.2. ЦБ обязуется:</w:t>
      </w:r>
    </w:p>
    <w:p>
      <w:pPr>
        <w:pStyle w:val="ConsPlusNormal"/>
        <w:spacing w:before="200" w:after="200"/>
        <w:ind w:firstLine="540"/>
        <w:jc w:val="both"/>
        <w:rPr/>
      </w:pPr>
      <w:r>
        <w:rPr/>
        <w:t>4.2.1. Осуществлять бухгалтерское обслуживание в соответствии с требованиями действующего законодательства Российской Федерации и законодательства Чувашской Республики, локальными нормативными правовыми актами Субъекта централизованного учета в полном объеме и в установленные сроки согласно Графику и Регламенту.</w:t>
      </w:r>
    </w:p>
    <w:p>
      <w:pPr>
        <w:pStyle w:val="ConsPlusNormal"/>
        <w:spacing w:before="200" w:after="200"/>
        <w:ind w:firstLine="540"/>
        <w:jc w:val="both"/>
        <w:rPr/>
      </w:pPr>
      <w:r>
        <w:rPr/>
        <w:t xml:space="preserve">4.2.2. Соблюдать требования федеральных законов от 27 июля 2006 г. </w:t>
      </w:r>
      <w:hyperlink r:id="rId5">
        <w:r>
          <w:rPr/>
          <w:t>N 149-ФЗ</w:t>
        </w:r>
      </w:hyperlink>
      <w:r>
        <w:rPr/>
        <w:t xml:space="preserve"> "Об информации, информационных технологиях и о защите информации", от 27 июля 2006 г. </w:t>
      </w:r>
      <w:hyperlink r:id="rId6">
        <w:r>
          <w:rPr/>
          <w:t>N 152-ФЗ</w:t>
        </w:r>
      </w:hyperlink>
      <w:r>
        <w:rPr/>
        <w:t xml:space="preserve"> "О персональных данных", от 6 апреля 2011 г. </w:t>
      </w:r>
      <w:hyperlink r:id="rId7">
        <w:r>
          <w:rPr/>
          <w:t>N 63-ФЗ</w:t>
        </w:r>
      </w:hyperlink>
      <w:r>
        <w:rPr/>
        <w:t xml:space="preserve"> "Об электронной подписи".</w:t>
      </w:r>
    </w:p>
    <w:p>
      <w:pPr>
        <w:pStyle w:val="ConsPlusNormal"/>
        <w:spacing w:before="200" w:after="200"/>
        <w:ind w:firstLine="540"/>
        <w:jc w:val="both"/>
        <w:rPr/>
      </w:pPr>
      <w:r>
        <w:rPr/>
        <w:t>Принимать исчерпывающие меры по обеспечению безопасности персональных данных и не использовать персональные данные для целей, не связанных с исполнением настоящего Регламента.</w:t>
      </w:r>
    </w:p>
    <w:p>
      <w:pPr>
        <w:pStyle w:val="ConsPlusNormal"/>
        <w:spacing w:before="200" w:after="200"/>
        <w:ind w:firstLine="540"/>
        <w:jc w:val="both"/>
        <w:rPr/>
      </w:pPr>
      <w:r>
        <w:rPr/>
        <w:t>4.2.3. При обнаружении недостатков в представленной информации и первичных учетных документах не позднее дня их обнаружения предупреждать об этом Субъект централизованного учета, указав на конкретные ошибки и недочеты.</w:t>
      </w:r>
    </w:p>
    <w:p>
      <w:pPr>
        <w:pStyle w:val="ConsPlusNormal"/>
        <w:spacing w:before="200" w:after="200"/>
        <w:ind w:firstLine="540"/>
        <w:jc w:val="both"/>
        <w:rPr/>
      </w:pPr>
      <w:r>
        <w:rPr/>
        <w:t>4.2.4. Осуществлять расходы по лицевому, расчетному счетам Субъекта централизованного учета в пределах утвержденных планов финансово-хозяйственной деятельности.</w:t>
      </w:r>
    </w:p>
    <w:p>
      <w:pPr>
        <w:pStyle w:val="ConsPlusNormal"/>
        <w:spacing w:before="200" w:after="200"/>
        <w:ind w:firstLine="540"/>
        <w:jc w:val="both"/>
        <w:rPr/>
      </w:pPr>
      <w:r>
        <w:rPr/>
        <w:t xml:space="preserve">4.2.5. Своевременно подготавливать и представлять Субъекту централизованного учета бухгалтерскую (финансовую) и налоговую </w:t>
      </w:r>
      <w:hyperlink w:anchor="P1181">
        <w:r>
          <w:rPr/>
          <w:t>отчетность</w:t>
        </w:r>
      </w:hyperlink>
      <w:r>
        <w:rPr/>
        <w:t xml:space="preserve"> согласно Приложению N 4 к настоящему Регламенту.</w:t>
      </w:r>
    </w:p>
    <w:p>
      <w:pPr>
        <w:pStyle w:val="ConsPlusNormal"/>
        <w:spacing w:before="200" w:after="200"/>
        <w:ind w:firstLine="540"/>
        <w:jc w:val="both"/>
        <w:rPr/>
      </w:pPr>
      <w:r>
        <w:rPr/>
        <w:t>4.2.6. Отслеживать и учитывать изменения в бухгалтерском и налоговом законодательстве Российской Федерации, своевременно вносить необходимые изменения в процесс ведения бухгалтерского учета в рамках бухгалтерского обслуживания.</w:t>
      </w:r>
    </w:p>
    <w:p>
      <w:pPr>
        <w:pStyle w:val="ConsPlusNormal"/>
        <w:spacing w:before="200" w:after="200"/>
        <w:ind w:firstLine="540"/>
        <w:jc w:val="both"/>
        <w:rPr/>
      </w:pPr>
      <w:r>
        <w:rPr/>
        <w:t>4.2.7. Консультировать Субъект централизованного учета по вопросам, возникающим в процессе ведения бухгалтерского учета и составления отчетности в рамках бухгалтерского обслуживания, предоставлять необходимые пояснения по содержанию отчетности.</w:t>
      </w:r>
    </w:p>
    <w:p>
      <w:pPr>
        <w:pStyle w:val="ConsPlusNormal"/>
        <w:jc w:val="both"/>
        <w:rPr/>
      </w:pPr>
      <w:r>
        <w:rPr/>
      </w:r>
    </w:p>
    <w:p>
      <w:pPr>
        <w:pStyle w:val="ConsPlusTitle"/>
        <w:numPr>
          <w:ilvl w:val="0"/>
          <w:numId w:val="0"/>
        </w:numPr>
        <w:ind w:left="0" w:hanging="0"/>
        <w:jc w:val="center"/>
        <w:outlineLvl w:val="1"/>
        <w:rPr/>
      </w:pPr>
      <w:r>
        <w:rPr/>
        <w:t>5. Права Сторон</w:t>
      </w:r>
    </w:p>
    <w:p>
      <w:pPr>
        <w:pStyle w:val="ConsPlusNormal"/>
        <w:jc w:val="both"/>
        <w:rPr/>
      </w:pPr>
      <w:r>
        <w:rPr/>
      </w:r>
    </w:p>
    <w:p>
      <w:pPr>
        <w:pStyle w:val="ConsPlusNormal"/>
        <w:ind w:firstLine="540"/>
        <w:jc w:val="both"/>
        <w:rPr/>
      </w:pPr>
      <w:r>
        <w:rPr/>
        <w:t>5.1. Субъект централизованного учета имеет право:</w:t>
      </w:r>
    </w:p>
    <w:p>
      <w:pPr>
        <w:pStyle w:val="ConsPlusNormal"/>
        <w:spacing w:before="200" w:after="200"/>
        <w:ind w:firstLine="540"/>
        <w:jc w:val="both"/>
        <w:rPr/>
      </w:pPr>
      <w:r>
        <w:rPr/>
        <w:t>5.1.1. Запрашивать у ЦБ информацию, необходимую для осуществления деятельности в соответствии с положениями Регламента, при отсутствии технической возможности ее получения из ЕЦИС.</w:t>
      </w:r>
    </w:p>
    <w:p>
      <w:pPr>
        <w:pStyle w:val="ConsPlusNormal"/>
        <w:spacing w:before="200" w:after="200"/>
        <w:ind w:firstLine="540"/>
        <w:jc w:val="both"/>
        <w:rPr/>
      </w:pPr>
      <w:r>
        <w:rPr/>
        <w:t>5.1.2. Требовать своевременного и полного исполнения обязательств ЦБ по данному Регламенту.</w:t>
      </w:r>
    </w:p>
    <w:p>
      <w:pPr>
        <w:pStyle w:val="ConsPlusNormal"/>
        <w:spacing w:before="200" w:after="200"/>
        <w:ind w:firstLine="540"/>
        <w:jc w:val="both"/>
        <w:rPr/>
      </w:pPr>
      <w:r>
        <w:rPr/>
        <w:t>5.2. ЦБ имеет право:</w:t>
      </w:r>
    </w:p>
    <w:p>
      <w:pPr>
        <w:pStyle w:val="ConsPlusNormal"/>
        <w:spacing w:before="200" w:after="200"/>
        <w:ind w:firstLine="540"/>
        <w:jc w:val="both"/>
        <w:rPr/>
      </w:pPr>
      <w:r>
        <w:rPr/>
        <w:t>5.2.1. Подписывать на основании выданных Субъектом централизованного учета доверенностей налоговую отчетность и отчетность в государственные внебюджетные фонды, органы государственной статистики по установленным законодательством Российской Федерации формам.</w:t>
      </w:r>
    </w:p>
    <w:p>
      <w:pPr>
        <w:pStyle w:val="ConsPlusNormal"/>
        <w:spacing w:before="200" w:after="200"/>
        <w:ind w:firstLine="540"/>
        <w:jc w:val="both"/>
        <w:rPr/>
      </w:pPr>
      <w:r>
        <w:rPr/>
        <w:t>5.2.2. Определять самостоятельно формы и методы работы, а также технологию обработки учетной информации.</w:t>
      </w:r>
    </w:p>
    <w:p>
      <w:pPr>
        <w:pStyle w:val="ConsPlusNormal"/>
        <w:spacing w:before="200" w:after="200"/>
        <w:ind w:firstLine="540"/>
        <w:jc w:val="both"/>
        <w:rPr/>
      </w:pPr>
      <w:r>
        <w:rPr/>
        <w:t>5.2.3. Направлять Субъекту централизованного учета рекомендации (предложения) о внесении соответствующих изменений во внутренние распорядительные документы Субъекта централизованного учета.</w:t>
      </w:r>
    </w:p>
    <w:p>
      <w:pPr>
        <w:pStyle w:val="ConsPlusNormal"/>
        <w:spacing w:before="200" w:after="200"/>
        <w:ind w:firstLine="540"/>
        <w:jc w:val="both"/>
        <w:rPr/>
      </w:pPr>
      <w:r>
        <w:rPr/>
        <w:t>5.2.4. Взаимодействовать при необходимости с государственными и иными специализированными организациями при рассмотрении спорных вопросов законодательства Российской Федерации и законодательства Чувашской Республики по бухгалтерскому учету (отчетности) и налогообложению с целью обеспечения качественного исполнения функций.</w:t>
      </w:r>
    </w:p>
    <w:p>
      <w:pPr>
        <w:pStyle w:val="ConsPlusNormal"/>
        <w:spacing w:before="200" w:after="200"/>
        <w:ind w:firstLine="540"/>
        <w:jc w:val="both"/>
        <w:rPr/>
      </w:pPr>
      <w:r>
        <w:rPr/>
        <w:t>5.2.5. Отказаться выполнять письменные указания Субъекта централизованного учета, если эти указания могут повлечь за собой финансовые риски и риски нарушения законодательства для Субъекта централизованного учета и ЦБ, указав при этом Субъекту централизованного учета на возможность возникновения рисков и их причины.</w:t>
      </w:r>
    </w:p>
    <w:p>
      <w:pPr>
        <w:pStyle w:val="ConsPlusNormal"/>
        <w:jc w:val="both"/>
        <w:rPr/>
      </w:pPr>
      <w:r>
        <w:rPr/>
      </w:r>
    </w:p>
    <w:p>
      <w:pPr>
        <w:pStyle w:val="ConsPlusTitle"/>
        <w:numPr>
          <w:ilvl w:val="0"/>
          <w:numId w:val="0"/>
        </w:numPr>
        <w:ind w:left="0" w:hanging="0"/>
        <w:jc w:val="center"/>
        <w:outlineLvl w:val="1"/>
        <w:rPr/>
      </w:pPr>
      <w:r>
        <w:rPr/>
        <w:t>6. Порядок предоставления информации и документов</w:t>
      </w:r>
    </w:p>
    <w:p>
      <w:pPr>
        <w:pStyle w:val="ConsPlusNormal"/>
        <w:jc w:val="both"/>
        <w:rPr/>
      </w:pPr>
      <w:r>
        <w:rPr/>
      </w:r>
    </w:p>
    <w:p>
      <w:pPr>
        <w:pStyle w:val="ConsPlusNormal"/>
        <w:ind w:firstLine="540"/>
        <w:jc w:val="both"/>
        <w:rPr/>
      </w:pPr>
      <w:r>
        <w:rPr/>
        <w:t>6.1. С целью сверки остатков по счетам в информационных системах в момент передачи бухгалтерского обслуживания и до момента фактического перехода на ведение учета в ЕЦИС Субъект централизованного учета предоставляет ЦБ в бумажном виде:</w:t>
      </w:r>
    </w:p>
    <w:p>
      <w:pPr>
        <w:pStyle w:val="ConsPlusNormal"/>
        <w:spacing w:before="200" w:after="200"/>
        <w:ind w:firstLine="540"/>
        <w:jc w:val="both"/>
        <w:rPr/>
      </w:pPr>
      <w:r>
        <w:rPr/>
        <w:t>- оборотные ведомости с остатками по счетам бухгалтерского учета, зафиксированными в информационной системе Субъекта централизованного учета, по состоянию на 1 января года, в котором передается ведение бухгалтерского учета в рамках бухгалтерского обслуживания, и на дату передачи ведения бухгалтерского учета в рамках бухгалтерского обслуживания, при этом остатки по счетам расчетов и обязательств подтверждаются актами сверки расчетов;</w:t>
      </w:r>
    </w:p>
    <w:p>
      <w:pPr>
        <w:pStyle w:val="ConsPlusNormal"/>
        <w:spacing w:before="200" w:after="200"/>
        <w:ind w:firstLine="540"/>
        <w:jc w:val="both"/>
        <w:rPr/>
      </w:pPr>
      <w:r>
        <w:rPr/>
        <w:t>- копию базы данных в состоянии, актуальном на дату передачи бухгалтерского обслуживания.</w:t>
      </w:r>
    </w:p>
    <w:p>
      <w:pPr>
        <w:pStyle w:val="ConsPlusNormal"/>
        <w:spacing w:before="200" w:after="200"/>
        <w:ind w:firstLine="540"/>
        <w:jc w:val="both"/>
        <w:rPr/>
      </w:pPr>
      <w:r>
        <w:rPr/>
        <w:t xml:space="preserve">Предоставляемые оборотные ведомости должны быть подписаны Субъектом централизованного учета и переданы ЦБ по </w:t>
      </w:r>
      <w:hyperlink w:anchor="P1304">
        <w:r>
          <w:rPr/>
          <w:t>Акту</w:t>
        </w:r>
      </w:hyperlink>
      <w:r>
        <w:rPr/>
        <w:t xml:space="preserve"> приема-передачи согласно Приложению N 5 к настоящему Регламенту. Дополнительно проводится проверка соответствия данных показателей синтетических счетов и образующих их аналитических счетов в ЕЦИС и зафиксированных в оборотных ведомостях остатков по счетам.</w:t>
      </w:r>
    </w:p>
    <w:p>
      <w:pPr>
        <w:pStyle w:val="ConsPlusNormal"/>
        <w:spacing w:before="200" w:after="200"/>
        <w:ind w:firstLine="540"/>
        <w:jc w:val="both"/>
        <w:rPr/>
      </w:pPr>
      <w:r>
        <w:rPr/>
        <w:t>6.2. Субъект централизованного учета в течение 5 (пяти) рабочих дней с момента подписания Договора представляет в ЦБ:</w:t>
      </w:r>
    </w:p>
    <w:p>
      <w:pPr>
        <w:pStyle w:val="ConsPlusNormal"/>
        <w:spacing w:before="200" w:after="200"/>
        <w:ind w:firstLine="540"/>
        <w:jc w:val="both"/>
        <w:rPr/>
      </w:pPr>
      <w:r>
        <w:rPr/>
        <w:t>- копии локальных нормативных правовых актов и внутренних распорядительных документов Субъекта централизованного учета, необходимых для выполнения условий настоящего Регламента;</w:t>
      </w:r>
    </w:p>
    <w:p>
      <w:pPr>
        <w:pStyle w:val="ConsPlusNormal"/>
        <w:spacing w:before="200" w:after="200"/>
        <w:ind w:firstLine="540"/>
        <w:jc w:val="both"/>
        <w:rPr/>
      </w:pPr>
      <w:r>
        <w:rPr/>
        <w:t>- копии распорядительных документов, разъяснений, рекомендаций, касающихся организации и ведения бухгалтерского, налогового учета и подготовки отчетности Субъекта централизованного учета;</w:t>
      </w:r>
    </w:p>
    <w:p>
      <w:pPr>
        <w:pStyle w:val="ConsPlusNormal"/>
        <w:spacing w:before="200" w:after="200"/>
        <w:ind w:firstLine="540"/>
        <w:jc w:val="both"/>
        <w:rPr/>
      </w:pPr>
      <w:r>
        <w:rPr/>
        <w:t>- копии учредительных документов;</w:t>
      </w:r>
    </w:p>
    <w:p>
      <w:pPr>
        <w:pStyle w:val="ConsPlusNormal"/>
        <w:spacing w:before="200" w:after="200"/>
        <w:ind w:firstLine="540"/>
        <w:jc w:val="both"/>
        <w:rPr/>
      </w:pPr>
      <w:r>
        <w:rPr/>
        <w:t>- другие документы, служащие основанием для ведения бухгалтерского и налогового учета, расчета заработной платы и налогов за текущий год.</w:t>
      </w:r>
    </w:p>
    <w:p>
      <w:pPr>
        <w:pStyle w:val="ConsPlusNormal"/>
        <w:spacing w:before="200" w:after="200"/>
        <w:ind w:firstLine="540"/>
        <w:jc w:val="both"/>
        <w:rPr/>
      </w:pPr>
      <w:r>
        <w:rPr/>
        <w:t>В случае издания Субъектом централизованного учета дополнений и изменений к указанным документам, а также новых локальных нормативных правовых актов и внутренних распорядительных документов, копии данных документов Субъект централизованного учета представляет в ЦБ в течение 3 (трех) рабочих дней с момента их издания.</w:t>
      </w:r>
    </w:p>
    <w:p>
      <w:pPr>
        <w:pStyle w:val="ConsPlusNormal"/>
        <w:spacing w:before="200" w:after="200"/>
        <w:ind w:firstLine="540"/>
        <w:jc w:val="both"/>
        <w:rPr/>
      </w:pPr>
      <w:r>
        <w:rPr/>
        <w:t>Передача копий данных документов осуществляется в виде электронного документа, скан-образа с применением ЭП Уполномоченного работника и (или) на бумажном носителе информации (кроме документов, имеющих ограничительные грифы: коммерческая тайна, конфиденциально, для служебного пользования).</w:t>
      </w:r>
    </w:p>
    <w:p>
      <w:pPr>
        <w:pStyle w:val="ConsPlusNormal"/>
        <w:spacing w:before="200" w:after="200"/>
        <w:ind w:firstLine="540"/>
        <w:jc w:val="both"/>
        <w:rPr/>
      </w:pPr>
      <w:r>
        <w:rPr/>
        <w:t>В случае необходимости ЦБ оформляет и передает Субъекту централизованного учета письменный запрос на предоставление дополнительной информации, касающейся ведения бухгалтерского и налогового учета, формирования отчетности. В запросе указывается содержание необходимой дополнительной информации, форма и сроки ее представления. Документы Субъекта централизованного учета, указанные выше и переданные ЦБ, хранятся у ЦБ в соответствии с требованиями архивного дела.</w:t>
      </w:r>
    </w:p>
    <w:p>
      <w:pPr>
        <w:pStyle w:val="ConsPlusNormal"/>
        <w:spacing w:before="200" w:after="200"/>
        <w:ind w:firstLine="540"/>
        <w:jc w:val="both"/>
        <w:rPr/>
      </w:pPr>
      <w:r>
        <w:rPr/>
        <w:t>6.3. Субъект централизованного учета предоставляет первичные учетные и другие документы в виде электронных документов, скан-образов с применением ЭП Уполномоченного работника и (или), при невозможности представления в электронном виде, - на бумажном носителе согласно Графику.</w:t>
      </w:r>
    </w:p>
    <w:p>
      <w:pPr>
        <w:pStyle w:val="ConsPlusNormal"/>
        <w:spacing w:before="200" w:after="200"/>
        <w:ind w:firstLine="540"/>
        <w:jc w:val="both"/>
        <w:rPr/>
      </w:pPr>
      <w:r>
        <w:rPr/>
        <w:t xml:space="preserve">Первичные учетные документы, которые представляются на бумажных носителях информации, передаются уполномоченными работниками Субъекта централизованного учета на основании </w:t>
      </w:r>
      <w:hyperlink w:anchor="P1445">
        <w:r>
          <w:rPr/>
          <w:t>реестра</w:t>
        </w:r>
      </w:hyperlink>
      <w:r>
        <w:rPr/>
        <w:t xml:space="preserve"> документов (далее - Реестр) согласно Приложению N 6 к настоящему Регламенту. Документы считаются переданными с даты отметки входящей корреспонденции на сопроводительном Реестре.</w:t>
      </w:r>
    </w:p>
    <w:p>
      <w:pPr>
        <w:pStyle w:val="ConsPlusNormal"/>
        <w:spacing w:before="200" w:after="200"/>
        <w:ind w:firstLine="540"/>
        <w:jc w:val="both"/>
        <w:rPr/>
      </w:pPr>
      <w:r>
        <w:rPr/>
        <w:t>В случае невозможности передачи документов в ЕЦИС по телекоммуникационным каналам связи Уполномоченный работник Субъекта централизованного учета (ЦБ) оформляет и передает документы в электронном виде на сменном носителе или на бумажных носителях информации в сроки, установленные Графиком.</w:t>
      </w:r>
    </w:p>
    <w:p>
      <w:pPr>
        <w:pStyle w:val="ConsPlusNormal"/>
        <w:spacing w:before="200" w:after="200"/>
        <w:ind w:firstLine="540"/>
        <w:jc w:val="both"/>
        <w:rPr/>
      </w:pPr>
      <w:r>
        <w:rPr/>
        <w:t>Субъект централизованного учета предоставляет ЦБ первичные учетные документы по унифицированным формам, утвержденным Министерством финансов Российской Федерации, Росстатом (ранее - Госкомстатом РФ), Центральным банком Российской Федерации (Банком России) и по неунифицированным формам, утвержденным в составе учетной политики.</w:t>
      </w:r>
    </w:p>
    <w:p>
      <w:pPr>
        <w:pStyle w:val="ConsPlusNormal"/>
        <w:spacing w:before="200" w:after="200"/>
        <w:ind w:firstLine="540"/>
        <w:jc w:val="both"/>
        <w:rPr/>
      </w:pPr>
      <w:r>
        <w:rPr/>
        <w:t>После получения первичных учетных и других документов ЦБ осуществляет проверку их на полноту и корректность в сроки, установленные в Графике.</w:t>
      </w:r>
    </w:p>
    <w:p>
      <w:pPr>
        <w:pStyle w:val="ConsPlusNormal"/>
        <w:spacing w:before="200" w:after="200"/>
        <w:ind w:firstLine="540"/>
        <w:jc w:val="both"/>
        <w:rPr/>
      </w:pPr>
      <w:r>
        <w:rPr/>
        <w:t>Работники ЦБ при проверке документов на полноту и корректность руководствуются:</w:t>
      </w:r>
    </w:p>
    <w:p>
      <w:pPr>
        <w:pStyle w:val="ConsPlusNormal"/>
        <w:spacing w:before="200" w:after="200"/>
        <w:ind w:firstLine="540"/>
        <w:jc w:val="both"/>
        <w:rPr/>
      </w:pPr>
      <w:r>
        <w:rPr/>
        <w:t>- законодательством Российской Федерации;</w:t>
      </w:r>
    </w:p>
    <w:p>
      <w:pPr>
        <w:pStyle w:val="ConsPlusNormal"/>
        <w:spacing w:before="200" w:after="200"/>
        <w:ind w:firstLine="540"/>
        <w:jc w:val="both"/>
        <w:rPr/>
      </w:pPr>
      <w:r>
        <w:rPr/>
        <w:t>- нормативными правовыми актами Чувашской Республики;</w:t>
      </w:r>
    </w:p>
    <w:p>
      <w:pPr>
        <w:pStyle w:val="ConsPlusNormal"/>
        <w:spacing w:before="200" w:after="200"/>
        <w:ind w:firstLine="540"/>
        <w:jc w:val="both"/>
        <w:rPr/>
      </w:pPr>
      <w:r>
        <w:rPr/>
        <w:t>- отраслевыми стандартами;</w:t>
      </w:r>
    </w:p>
    <w:p>
      <w:pPr>
        <w:pStyle w:val="ConsPlusNormal"/>
        <w:spacing w:before="200" w:after="200"/>
        <w:ind w:firstLine="540"/>
        <w:jc w:val="both"/>
        <w:rPr/>
      </w:pPr>
      <w:r>
        <w:rPr/>
        <w:t>- постановлениями Кабинета Министров Чувашской Республики;</w:t>
      </w:r>
    </w:p>
    <w:p>
      <w:pPr>
        <w:pStyle w:val="ConsPlusNormal"/>
        <w:spacing w:before="200" w:after="200"/>
        <w:ind w:firstLine="540"/>
        <w:jc w:val="both"/>
        <w:rPr/>
      </w:pPr>
      <w:r>
        <w:rPr/>
        <w:t>- приказами ЦБ;</w:t>
      </w:r>
    </w:p>
    <w:p>
      <w:pPr>
        <w:pStyle w:val="ConsPlusNormal"/>
        <w:spacing w:before="200" w:after="200"/>
        <w:ind w:firstLine="540"/>
        <w:jc w:val="both"/>
        <w:rPr/>
      </w:pPr>
      <w:r>
        <w:rPr/>
        <w:t>- приказами Субъекта централизованного учета;</w:t>
      </w:r>
    </w:p>
    <w:p>
      <w:pPr>
        <w:pStyle w:val="ConsPlusNormal"/>
        <w:spacing w:before="200" w:after="200"/>
        <w:ind w:firstLine="540"/>
        <w:jc w:val="both"/>
        <w:rPr/>
      </w:pPr>
      <w:r>
        <w:rPr/>
        <w:t>- Договором между ЦБ и Субъектом централизованного учета, а также иными документами, заключенными в рамках бухгалтерского обслуживания.</w:t>
      </w:r>
    </w:p>
    <w:p>
      <w:pPr>
        <w:pStyle w:val="ConsPlusNormal"/>
        <w:spacing w:before="200" w:after="200"/>
        <w:ind w:firstLine="540"/>
        <w:jc w:val="both"/>
        <w:rPr/>
      </w:pPr>
      <w:r>
        <w:rPr/>
        <w:t>ЦБ при обнаружении несоответствий возвращает первичные учетные документы Субъекту централизованного учета для переоформления в случае их несоответствия требованиям законодательства Российской Федерации, в том числе:</w:t>
      </w:r>
    </w:p>
    <w:p>
      <w:pPr>
        <w:pStyle w:val="ConsPlusNormal"/>
        <w:spacing w:before="200" w:after="200"/>
        <w:ind w:firstLine="540"/>
        <w:jc w:val="both"/>
        <w:rPr/>
      </w:pPr>
      <w:r>
        <w:rPr/>
        <w:t>- несоответствия использованных форм первичных учетных документов;</w:t>
      </w:r>
    </w:p>
    <w:p>
      <w:pPr>
        <w:pStyle w:val="ConsPlusNormal"/>
        <w:spacing w:before="200" w:after="200"/>
        <w:ind w:firstLine="540"/>
        <w:jc w:val="both"/>
        <w:rPr/>
      </w:pPr>
      <w:r>
        <w:rPr/>
        <w:t>- наличия незаполненных реквизитов или несоответствия состава реквизитов документов требованиям законодательства Российской Федерации;</w:t>
      </w:r>
    </w:p>
    <w:p>
      <w:pPr>
        <w:pStyle w:val="ConsPlusNormal"/>
        <w:spacing w:before="200" w:after="200"/>
        <w:ind w:firstLine="540"/>
        <w:jc w:val="both"/>
        <w:rPr/>
      </w:pPr>
      <w:r>
        <w:rPr/>
        <w:t>- отсутствия подписей должностных лиц;</w:t>
      </w:r>
    </w:p>
    <w:p>
      <w:pPr>
        <w:pStyle w:val="ConsPlusNormal"/>
        <w:spacing w:before="200" w:after="200"/>
        <w:ind w:firstLine="540"/>
        <w:jc w:val="both"/>
        <w:rPr/>
      </w:pPr>
      <w:r>
        <w:rPr/>
        <w:t>- несоответствия фактов хозяйственной жизни в первичных учетных документах финансово-хозяйственной деятельности Субъекта централизованного учета;</w:t>
      </w:r>
    </w:p>
    <w:p>
      <w:pPr>
        <w:pStyle w:val="ConsPlusNormal"/>
        <w:spacing w:before="200" w:after="200"/>
        <w:ind w:firstLine="540"/>
        <w:jc w:val="both"/>
        <w:rPr/>
      </w:pPr>
      <w:r>
        <w:rPr/>
        <w:t>- недостоверности данных и наличия арифметических ошибок.</w:t>
      </w:r>
    </w:p>
    <w:p>
      <w:pPr>
        <w:pStyle w:val="ConsPlusNormal"/>
        <w:spacing w:before="200" w:after="200"/>
        <w:ind w:firstLine="540"/>
        <w:jc w:val="both"/>
        <w:rPr/>
      </w:pPr>
      <w:r>
        <w:rPr/>
        <w:t>Субъект централизованного учета своевременно вносит исправления или заменяет первичные учетные документы, возвращенные ЦБ на доработку.</w:t>
      </w:r>
    </w:p>
    <w:p>
      <w:pPr>
        <w:pStyle w:val="ConsPlusNormal"/>
        <w:spacing w:before="200" w:after="200"/>
        <w:ind w:firstLine="540"/>
        <w:jc w:val="both"/>
        <w:rPr/>
      </w:pPr>
      <w:r>
        <w:rPr/>
        <w:t>В случае отказа Субъекта централизованного учета от внесения изменений в документы или их замены, данные, содержащиеся в первичном учетном документе, принимаются ЦБ к учету только по письменному распоряжению руководителя Субъекта централизованного учета, который единолично несет ответственность за созданную в результате этого информацию.</w:t>
      </w:r>
    </w:p>
    <w:p>
      <w:pPr>
        <w:pStyle w:val="ConsPlusNormal"/>
        <w:spacing w:before="200" w:after="200"/>
        <w:ind w:firstLine="540"/>
        <w:jc w:val="both"/>
        <w:rPr/>
      </w:pPr>
      <w:r>
        <w:rPr/>
        <w:t>В случае поступления в ЦБ первичных учетных документов с нарушением сроков, указанных в Графике, повлекшего отражение фактов хозяйственной жизни в следующем отчетном периоде, ЦБ доводит до Субъекта централизованного учета в письменной форме перечень данных документов в срок до 20 (двадцатого) числа месяца, следующего за отчетным периодом.</w:t>
      </w:r>
    </w:p>
    <w:p>
      <w:pPr>
        <w:pStyle w:val="ConsPlusNormal"/>
        <w:spacing w:before="200" w:after="200"/>
        <w:ind w:firstLine="540"/>
        <w:jc w:val="both"/>
        <w:rPr/>
      </w:pPr>
      <w:r>
        <w:rPr/>
        <w:t>6.4. ЦБ по письменному запросу Субъекта централизованного учета осуществляет подготовку копий первичных учетных документов, находящихся у ЦБ в течение периода хранения документов ЦБ.</w:t>
      </w:r>
    </w:p>
    <w:p>
      <w:pPr>
        <w:pStyle w:val="ConsPlusNormal"/>
        <w:spacing w:before="200" w:after="200"/>
        <w:ind w:firstLine="540"/>
        <w:jc w:val="both"/>
        <w:rPr/>
      </w:pPr>
      <w:r>
        <w:rPr/>
        <w:t>Субъект централизованного учета уведомляет ЦБ письменно о необходимости предоставления копий первичных учетных документов не позднее чем за 3 (три) рабочих дня до предполагаемой даты их предоставления в адрес Субъекта централизованного учета. Запрос должен содержать точный перечень запрашиваемых первичных учетных документов, срок и форму их предоставления. Копии первичных учетных документов по согласованию Сторон могут предоставляться как в бумажном виде, так и в виде скан-образов.</w:t>
      </w:r>
    </w:p>
    <w:p>
      <w:pPr>
        <w:pStyle w:val="ConsPlusNormal"/>
        <w:spacing w:before="200" w:after="200"/>
        <w:ind w:firstLine="540"/>
        <w:jc w:val="both"/>
        <w:rPr/>
      </w:pPr>
      <w:r>
        <w:rPr/>
        <w:t>В отдельных случаях по согласованию между ЦБ и Субъектом централизованного учета срок предоставления копий первичных учетных документов по запросу Субъекта централизованного учета может быть изменен.</w:t>
      </w:r>
    </w:p>
    <w:p>
      <w:pPr>
        <w:pStyle w:val="ConsPlusNormal"/>
        <w:jc w:val="both"/>
        <w:rPr/>
      </w:pPr>
      <w:r>
        <w:rPr/>
      </w:r>
    </w:p>
    <w:p>
      <w:pPr>
        <w:pStyle w:val="ConsPlusTitle"/>
        <w:numPr>
          <w:ilvl w:val="0"/>
          <w:numId w:val="0"/>
        </w:numPr>
        <w:ind w:left="0" w:hanging="0"/>
        <w:jc w:val="center"/>
        <w:outlineLvl w:val="1"/>
        <w:rPr/>
      </w:pPr>
      <w:r>
        <w:rPr/>
        <w:t>7. Хранение первичных учетных документов</w:t>
      </w:r>
    </w:p>
    <w:p>
      <w:pPr>
        <w:pStyle w:val="ConsPlusNormal"/>
        <w:jc w:val="both"/>
        <w:rPr/>
      </w:pPr>
      <w:r>
        <w:rPr/>
      </w:r>
    </w:p>
    <w:p>
      <w:pPr>
        <w:pStyle w:val="ConsPlusNormal"/>
        <w:ind w:firstLine="540"/>
        <w:jc w:val="both"/>
        <w:rPr/>
      </w:pPr>
      <w:r>
        <w:rPr/>
        <w:t>7.1. ЦБ обеспечивает сохранность переданных Субъектом централизованного учета оригиналов документов на бумажном носителе информации до момента их возврата Субъекту централизованного учета в согласованные Сторонами сроки.</w:t>
      </w:r>
    </w:p>
    <w:p>
      <w:pPr>
        <w:pStyle w:val="ConsPlusNormal"/>
        <w:spacing w:before="200" w:after="200"/>
        <w:ind w:firstLine="540"/>
        <w:jc w:val="both"/>
        <w:rPr/>
      </w:pPr>
      <w:r>
        <w:rPr/>
        <w:t>7.2. ЦБ не осуществляет архивное хранение полученных от Субъекта централизованного учета, а также подготовленных ЦБ для Субъекта централизованного учета оригиналов бумажных экземпляров документов.</w:t>
      </w:r>
    </w:p>
    <w:p>
      <w:pPr>
        <w:pStyle w:val="ConsPlusNormal"/>
        <w:spacing w:before="200" w:after="200"/>
        <w:ind w:firstLine="540"/>
        <w:jc w:val="both"/>
        <w:rPr/>
      </w:pPr>
      <w:r>
        <w:rPr/>
        <w:t>7.3. Субъект централизованного учета самостоятельно осуществляет функцию ведения архива (контроль за сдачей документов, обеспечение сохранности документов, своевременное уничтожение документов, предоставление копий документов).</w:t>
      </w:r>
    </w:p>
    <w:p>
      <w:pPr>
        <w:pStyle w:val="ConsPlusNormal"/>
        <w:jc w:val="both"/>
        <w:rPr/>
      </w:pPr>
      <w:r>
        <w:rPr/>
      </w:r>
    </w:p>
    <w:p>
      <w:pPr>
        <w:pStyle w:val="ConsPlusTitle"/>
        <w:numPr>
          <w:ilvl w:val="0"/>
          <w:numId w:val="0"/>
        </w:numPr>
        <w:ind w:left="0" w:hanging="0"/>
        <w:jc w:val="center"/>
        <w:outlineLvl w:val="1"/>
        <w:rPr/>
      </w:pPr>
      <w:r>
        <w:rPr/>
        <w:t>8. Порядок взаимодействия при осуществлении</w:t>
      </w:r>
    </w:p>
    <w:p>
      <w:pPr>
        <w:pStyle w:val="ConsPlusTitle"/>
        <w:jc w:val="center"/>
        <w:rPr/>
      </w:pPr>
      <w:r>
        <w:rPr/>
        <w:t>внутреннего контроля совершаемых фактов хозяйственной жизни</w:t>
      </w:r>
    </w:p>
    <w:p>
      <w:pPr>
        <w:pStyle w:val="ConsPlusNormal"/>
        <w:jc w:val="both"/>
        <w:rPr/>
      </w:pPr>
      <w:r>
        <w:rPr/>
      </w:r>
    </w:p>
    <w:p>
      <w:pPr>
        <w:pStyle w:val="ConsPlusNormal"/>
        <w:ind w:firstLine="540"/>
        <w:jc w:val="both"/>
        <w:rPr/>
      </w:pPr>
      <w:r>
        <w:rPr/>
        <w:t>8.1. Субъект централизованного учета осуществляет контроль поставки товаров, выполнения работ и оказания услуг, обеспечивает сохранность нефинансовых активов, заключает договоры о полной материальной ответственности с сотрудниками Субъекта централизованного учета.</w:t>
      </w:r>
    </w:p>
    <w:p>
      <w:pPr>
        <w:pStyle w:val="ConsPlusNormal"/>
        <w:spacing w:before="200" w:after="200"/>
        <w:ind w:firstLine="540"/>
        <w:jc w:val="both"/>
        <w:rPr/>
      </w:pPr>
      <w:r>
        <w:rPr/>
        <w:t>8.2. Субъект централизованного учета организует проведение инвентаризации нефинансовых активов и обязательств в соответствии с действующим законодательством Российской Федерации и законодательством Чувашской Республики.</w:t>
      </w:r>
    </w:p>
    <w:p>
      <w:pPr>
        <w:pStyle w:val="ConsPlusNormal"/>
        <w:spacing w:before="200" w:after="200"/>
        <w:ind w:firstLine="540"/>
        <w:jc w:val="both"/>
        <w:rPr/>
      </w:pPr>
      <w:r>
        <w:rPr/>
        <w:t>8.3. ЦБ принимает участие в подготовке документов для проведения инвентаризации и при необходимости участвует в проведении инвентаризации имущества по согласованию между ЦБ и Субъектом централизованного учета.</w:t>
      </w:r>
    </w:p>
    <w:p>
      <w:pPr>
        <w:pStyle w:val="ConsPlusNormal"/>
        <w:spacing w:before="200" w:after="200"/>
        <w:ind w:firstLine="540"/>
        <w:jc w:val="both"/>
        <w:rPr/>
      </w:pPr>
      <w:r>
        <w:rPr/>
        <w:t>Субъект централизованного учета оформляет первичные учетные документы, связанные с выявленной недостачей, и представляет их ЦБ.</w:t>
      </w:r>
    </w:p>
    <w:p>
      <w:pPr>
        <w:pStyle w:val="ConsPlusNormal"/>
        <w:spacing w:before="200" w:after="200"/>
        <w:ind w:firstLine="540"/>
        <w:jc w:val="both"/>
        <w:rPr/>
      </w:pPr>
      <w:r>
        <w:rPr/>
        <w:t>8.4. Субъект централизованного учета в случаях, предусмотренных Правительством Российской Федерации, создает комиссию по переоценке объектов нефинансовых активов.</w:t>
      </w:r>
    </w:p>
    <w:p>
      <w:pPr>
        <w:pStyle w:val="ConsPlusNormal"/>
        <w:spacing w:before="200" w:after="200"/>
        <w:ind w:firstLine="540"/>
        <w:jc w:val="both"/>
        <w:rPr/>
      </w:pPr>
      <w:r>
        <w:rPr/>
        <w:t>Субъект централизованного учета проводит переоценку объектов нефинансовых активов и представляет ее результаты в ЦБ для отражения на счетах бухгалтерского учета.</w:t>
      </w:r>
    </w:p>
    <w:p>
      <w:pPr>
        <w:pStyle w:val="ConsPlusNormal"/>
        <w:spacing w:before="200" w:after="200"/>
        <w:ind w:firstLine="540"/>
        <w:jc w:val="both"/>
        <w:rPr/>
      </w:pPr>
      <w:r>
        <w:rPr/>
        <w:t>8.5. ЦБ предоставляет Субъекту централизованного учета информацию о состоянии дебиторской и кредиторской задолженности, формирует акты сверки расчетов с контрагентами и передает их Субъекту централизованного учета. Субъект централизованного учета осуществляет инвентаризацию расчетов с контрагентами на основании предоставленных актов сверки, вносит свои дополнения по согласованию с ЦБ. В случае выявления разногласий с контрагентами ЦБ представляет Субъекту централизованного учета информацию.</w:t>
      </w:r>
    </w:p>
    <w:p>
      <w:pPr>
        <w:pStyle w:val="ConsPlusNormal"/>
        <w:spacing w:before="200" w:after="200"/>
        <w:ind w:firstLine="540"/>
        <w:jc w:val="both"/>
        <w:rPr/>
      </w:pPr>
      <w:r>
        <w:rPr/>
        <w:t>При наличии технической возможности и организации электронного документооборота с контрагентами, ЦБ формирует в ЕЦИС акты сверки расчетов с контрагентами в электронном виде для направления контрагенту. По письменному запросу Субъекта централизованного учета в случае необходимости ЦБ формирует акты сверки с контрагентами на бумажном носителе и передает их Субъекту централизованного учета.</w:t>
      </w:r>
    </w:p>
    <w:p>
      <w:pPr>
        <w:pStyle w:val="ConsPlusNormal"/>
        <w:spacing w:before="200" w:after="200"/>
        <w:ind w:firstLine="540"/>
        <w:jc w:val="both"/>
        <w:rPr/>
      </w:pPr>
      <w:r>
        <w:rPr/>
        <w:t>Субъект централизованного учета осуществляет контроль за состоянием дебиторской и кредиторской задолженности, проводит претензионную работу по возврату дебиторской задолженности, а также принимает меры по урегулированию задолженности.</w:t>
      </w:r>
    </w:p>
    <w:p>
      <w:pPr>
        <w:pStyle w:val="ConsPlusNormal"/>
        <w:spacing w:before="200" w:after="200"/>
        <w:ind w:firstLine="540"/>
        <w:jc w:val="both"/>
        <w:rPr/>
      </w:pPr>
      <w:r>
        <w:rPr/>
        <w:t>Субъект централизованного учета ежегодно не позднее 5 рабочих дней со дня оформления результатов инвентаризации и на 1 января года, следующего за отчетным периодом, представляет в ЦБ сведения по дебиторской (кредиторской) задолженности, которая по результатам проведенной инвентаризации расчетов является долгосрочной, просроченной, сомнительной и невостребованной к взысканию.</w:t>
      </w:r>
    </w:p>
    <w:p>
      <w:pPr>
        <w:pStyle w:val="ConsPlusNormal"/>
        <w:spacing w:before="200" w:after="200"/>
        <w:ind w:firstLine="540"/>
        <w:jc w:val="both"/>
        <w:rPr/>
      </w:pPr>
      <w:r>
        <w:rPr/>
        <w:t>8.6. ЦБ представляет информацию об исполнении обязательств по исполнительным листам о взыскании с работника Субъекта централизованного учета денежных средств в соответствующие органы.</w:t>
      </w:r>
    </w:p>
    <w:p>
      <w:pPr>
        <w:pStyle w:val="ConsPlusNormal"/>
        <w:jc w:val="both"/>
        <w:rPr/>
      </w:pPr>
      <w:r>
        <w:rPr/>
      </w:r>
    </w:p>
    <w:p>
      <w:pPr>
        <w:pStyle w:val="ConsPlusTitle"/>
        <w:numPr>
          <w:ilvl w:val="0"/>
          <w:numId w:val="0"/>
        </w:numPr>
        <w:ind w:left="0" w:hanging="0"/>
        <w:jc w:val="center"/>
        <w:outlineLvl w:val="1"/>
        <w:rPr/>
      </w:pPr>
      <w:r>
        <w:rPr/>
        <w:t>9. Порядок ведения учета и передачи регистров</w:t>
      </w:r>
    </w:p>
    <w:p>
      <w:pPr>
        <w:pStyle w:val="ConsPlusTitle"/>
        <w:jc w:val="center"/>
        <w:rPr/>
      </w:pPr>
      <w:r>
        <w:rPr/>
        <w:t>бухгалтерского учета ЦБ Субъектом централизованного учета</w:t>
      </w:r>
    </w:p>
    <w:p>
      <w:pPr>
        <w:pStyle w:val="ConsPlusNormal"/>
        <w:jc w:val="both"/>
        <w:rPr/>
      </w:pPr>
      <w:r>
        <w:rPr/>
      </w:r>
    </w:p>
    <w:p>
      <w:pPr>
        <w:pStyle w:val="ConsPlusNormal"/>
        <w:ind w:firstLine="540"/>
        <w:jc w:val="both"/>
        <w:rPr/>
      </w:pPr>
      <w:r>
        <w:rPr/>
        <w:t>9.1. ЦБ обеспечивает бухгалтерское обслуживание в соответствии с действующим законодательством Российской Федерации и законодательством Чувашской Республики, отражает на связанных счетах бухгалтерского учета факты хозяйственной жизни Субъекта централизованного учета.</w:t>
      </w:r>
    </w:p>
    <w:p>
      <w:pPr>
        <w:pStyle w:val="ConsPlusNormal"/>
        <w:spacing w:before="200" w:after="200"/>
        <w:ind w:firstLine="540"/>
        <w:jc w:val="both"/>
        <w:rPr/>
      </w:pPr>
      <w:r>
        <w:rPr/>
        <w:t>9.2. ЦБ составляет и направляет Субъекту централизованного учета в электронном виде (предоставляет доступ) или на бумажном носителе информации регистры аналитического и синтетического учета в соответствии с периодичностью, формами, сроками и порядком, предусмотренными действующим законодательством Российской Федерации и законодательством Чувашской Республики.</w:t>
      </w:r>
    </w:p>
    <w:p>
      <w:pPr>
        <w:pStyle w:val="ConsPlusNormal"/>
        <w:spacing w:before="200" w:after="200"/>
        <w:ind w:firstLine="540"/>
        <w:jc w:val="both"/>
        <w:rPr/>
      </w:pPr>
      <w:r>
        <w:rPr/>
        <w:t>9.3. ЦБ может вносить изменения в данные регистров учета в случае обнаружения ошибки, неточности или погрешности по результатам внутреннего финансового контроля и аудита со стороны Субъекта централизованного учета или ЦБ.</w:t>
      </w:r>
    </w:p>
    <w:p>
      <w:pPr>
        <w:pStyle w:val="ConsPlusNormal"/>
        <w:spacing w:before="200" w:after="200"/>
        <w:ind w:firstLine="540"/>
        <w:jc w:val="both"/>
        <w:rPr/>
      </w:pPr>
      <w:r>
        <w:rPr/>
        <w:t>Изменения вносятся ЦБ в порядке, предусмотренном действующими нормативными правовыми актами Российской Федерации и Чувашской Республики. ЦБ в течение 2 (двух) рабочих дней после внесения изменений сообщает о них Субъекту централизованного учета с предоставлением измененных регистров.</w:t>
      </w:r>
    </w:p>
    <w:p>
      <w:pPr>
        <w:pStyle w:val="ConsPlusNormal"/>
        <w:spacing w:before="200" w:after="200"/>
        <w:ind w:firstLine="540"/>
        <w:jc w:val="both"/>
        <w:rPr/>
      </w:pPr>
      <w:r>
        <w:rPr/>
        <w:t>9.4. ЦБ ведет Карточки налогового учета по учету доходов, регистры налогового учета</w:t>
      </w:r>
      <w:r>
        <w:rPr>
          <w:color w:val="7030A0"/>
        </w:rPr>
        <w:t xml:space="preserve"> </w:t>
      </w:r>
      <w:r>
        <w:rPr/>
        <w:t>сумм начисленных выплат и иных вознаграждений, а также сумм начисленных страховых взносов и налога на доходы физических лиц.</w:t>
      </w:r>
    </w:p>
    <w:p>
      <w:pPr>
        <w:pStyle w:val="ConsPlusNormal"/>
        <w:jc w:val="both"/>
        <w:rPr/>
      </w:pPr>
      <w:r>
        <w:rPr/>
      </w:r>
    </w:p>
    <w:p>
      <w:pPr>
        <w:pStyle w:val="ConsPlusTitle"/>
        <w:numPr>
          <w:ilvl w:val="0"/>
          <w:numId w:val="0"/>
        </w:numPr>
        <w:ind w:left="0" w:hanging="0"/>
        <w:jc w:val="center"/>
        <w:outlineLvl w:val="1"/>
        <w:rPr/>
      </w:pPr>
      <w:r>
        <w:rPr/>
        <w:t>10. Порядок взаимодействия при подписании</w:t>
      </w:r>
    </w:p>
    <w:p>
      <w:pPr>
        <w:pStyle w:val="ConsPlusTitle"/>
        <w:jc w:val="center"/>
        <w:rPr/>
      </w:pPr>
      <w:r>
        <w:rPr/>
        <w:t>бухгалтерской (финансовой</w:t>
      </w:r>
      <w:r>
        <w:rPr>
          <w:strike/>
        </w:rPr>
        <w:t xml:space="preserve"> </w:t>
      </w:r>
      <w:r>
        <w:rPr/>
        <w:t>отчетности Субъектом централизованного учета</w:t>
      </w:r>
    </w:p>
    <w:p>
      <w:pPr>
        <w:pStyle w:val="ConsPlusNormal"/>
        <w:jc w:val="both"/>
        <w:rPr/>
      </w:pPr>
      <w:r>
        <w:rPr/>
      </w:r>
    </w:p>
    <w:p>
      <w:pPr>
        <w:pStyle w:val="ConsPlusNormal"/>
        <w:ind w:firstLine="540"/>
        <w:jc w:val="both"/>
        <w:rPr/>
      </w:pPr>
      <w:r>
        <w:rPr/>
        <w:t>10.1. Бухгалтерская (финансовая) отчетность формируется ЦБ и Субъектом централизованного учета в программном продукте ЕЦИС и программном комплексе "Свод-Смарт".</w:t>
      </w:r>
    </w:p>
    <w:p>
      <w:pPr>
        <w:pStyle w:val="ConsPlusNormal"/>
        <w:spacing w:before="200" w:after="200"/>
        <w:ind w:firstLine="540"/>
        <w:jc w:val="both"/>
        <w:rPr/>
      </w:pPr>
      <w:r>
        <w:rPr/>
        <w:t>10.2. ЦБ формирует отчетность в сроки, установленные законодательством Российской Федерации и законодательством Чувашской Республики, доведенные письмами Министерства финансов Чувашской Республики (далее - также Минфин Чувашии).</w:t>
      </w:r>
    </w:p>
    <w:p>
      <w:pPr>
        <w:pStyle w:val="ConsPlusNormal"/>
        <w:spacing w:before="200" w:after="200"/>
        <w:ind w:firstLine="540"/>
        <w:jc w:val="both"/>
        <w:rPr/>
      </w:pPr>
      <w:r>
        <w:rPr/>
        <w:t>10.3. Субъект централизованного учета осуществляет подготовку информации к пояснительной записке по бухгалтерской (финансовой) отчетности в части организационной структуры, результатов деятельности, обоснования и пояснения причин неосвоения средств республиканского бюджета Чувашской Республики (недопоступления доходов), сведений о дате и причинах возникновения неисполненных обязательств денежных обязательств, даты их исполнения в соответствии с принятыми обязательствами, сведений об экономии денежных средств в результате применения конкурентных способов определения поставщиков (подрядчиков, исполнителей) при осуществлении закупок, сведений об объектах незавершенного строительства, кадастрового номера объекта, ИНН балансодержателя, статуса объекта, сметной стоимости на отчетную дату, целевой функции объекта, причин приостановления (прекращения) строительных работ, плановых сроков реализации инвестиционных проектов и представление ее в сроки, установленные ЦБ.</w:t>
      </w:r>
    </w:p>
    <w:p>
      <w:pPr>
        <w:pStyle w:val="ConsPlusNormal"/>
        <w:spacing w:before="200" w:after="200"/>
        <w:ind w:firstLine="540"/>
        <w:jc w:val="both"/>
        <w:rPr/>
      </w:pPr>
      <w:r>
        <w:rPr/>
        <w:t xml:space="preserve">ЦБ формирует годовую, квартальную, месячную бухгалтерскую отчетность и подписывает электронной подписью и направляет Субъекту централизованного учета в программном комплексе "Свод-Смарт" (при наличии технической возможности) за один рабочий день до срока представления отчетности. </w:t>
      </w:r>
    </w:p>
    <w:p>
      <w:pPr>
        <w:pStyle w:val="ConsPlusNormal"/>
        <w:spacing w:before="200" w:after="200"/>
        <w:ind w:firstLine="540"/>
        <w:jc w:val="both"/>
        <w:rPr/>
      </w:pPr>
      <w:r>
        <w:rPr/>
        <w:t xml:space="preserve">Руководитель (уполномоченный работник) Субъекта централизованного учета подписывает переданную ЦБ отчетность квалифицированной ЭП в течение одного рабочего дня (при наличии технической возможности в программном комплексе "Свод-Смарт"). </w:t>
      </w:r>
    </w:p>
    <w:p>
      <w:pPr>
        <w:pStyle w:val="ConsPlusNormal"/>
        <w:spacing w:before="200" w:after="200"/>
        <w:ind w:firstLine="540"/>
        <w:jc w:val="both"/>
        <w:rPr/>
      </w:pPr>
      <w:r>
        <w:rPr/>
        <w:t>Формы бухгалтерской (финансовой) отчетности, содержащие плановые (прогнозные) и (или) аналитические (управленческие) показатели, кроме того, подписываются руководителем финансово-экономической службы и (или) лицом, ответственным за формирование аналитической (управленческой) информации, предоставившим указанные данные в целях составления бухгалтерской (финансовой) отчетности.</w:t>
      </w:r>
    </w:p>
    <w:p>
      <w:pPr>
        <w:pStyle w:val="ConsPlusNormal"/>
        <w:spacing w:before="200" w:after="200"/>
        <w:ind w:firstLine="540"/>
        <w:jc w:val="both"/>
        <w:rPr/>
      </w:pPr>
      <w:r>
        <w:rPr/>
        <w:t>10.4. В случае возникновения у Субъекта централизованного учета замечаний к предоставленной отчетности ЦБ в письменной форме доводится список мотивированных замечаний.</w:t>
      </w:r>
    </w:p>
    <w:p>
      <w:pPr>
        <w:pStyle w:val="ConsPlusNormal"/>
        <w:spacing w:before="200" w:after="200"/>
        <w:ind w:firstLine="540"/>
        <w:jc w:val="both"/>
        <w:rPr/>
      </w:pPr>
      <w:r>
        <w:rPr/>
        <w:t>В случае, если в установленные сроки подготовки отчетности ЦБ не имеет возможности учесть и устранить замечания, ЦБ обоснованно информирует об этом Субъект централизованного учета. По таким замечаниям ЦБ должен подготовить уточненную бухгалтерскую (финансовую) отчетность в согласованные с Субъектом централизованного учета сроки.</w:t>
      </w:r>
    </w:p>
    <w:p>
      <w:pPr>
        <w:pStyle w:val="ConsPlusNormal"/>
        <w:spacing w:before="200" w:after="200"/>
        <w:ind w:firstLine="540"/>
        <w:jc w:val="both"/>
        <w:rPr/>
      </w:pPr>
      <w:r>
        <w:rPr/>
        <w:t>10.5. ЦБ отклоняет замечания Субъекта централизованного учета к бухгалтерской (финансовой) отчетности в случае:</w:t>
      </w:r>
    </w:p>
    <w:p>
      <w:pPr>
        <w:pStyle w:val="ConsPlusNormal"/>
        <w:spacing w:before="200" w:after="200"/>
        <w:ind w:firstLine="540"/>
        <w:jc w:val="both"/>
        <w:rPr/>
      </w:pPr>
      <w:r>
        <w:rPr/>
        <w:t>- отсутствия у ЦБ первичных учетных документов, которые должны были быть переданы Субъектом централизованного учета и отражены в отчетном периоде;</w:t>
      </w:r>
    </w:p>
    <w:p>
      <w:pPr>
        <w:pStyle w:val="ConsPlusNormal"/>
        <w:spacing w:before="200" w:after="200"/>
        <w:ind w:firstLine="540"/>
        <w:jc w:val="both"/>
        <w:rPr/>
      </w:pPr>
      <w:r>
        <w:rPr/>
        <w:t>- оформления первичных учетных документов с нарушением законодательства Российской Федерации, переданных Субъектом централизованного учета и принятых ЦБ к учету на основании письменного указания Субъекта централизованного учета;</w:t>
      </w:r>
    </w:p>
    <w:p>
      <w:pPr>
        <w:pStyle w:val="ConsPlusNormal"/>
        <w:spacing w:before="200" w:after="200"/>
        <w:ind w:firstLine="540"/>
        <w:jc w:val="both"/>
        <w:rPr/>
      </w:pPr>
      <w:r>
        <w:rPr/>
        <w:t>- при несоответствии документального оформления свершившимся фактам хозяйственной жизни;</w:t>
      </w:r>
    </w:p>
    <w:p>
      <w:pPr>
        <w:pStyle w:val="ConsPlusNormal"/>
        <w:spacing w:before="200" w:after="200"/>
        <w:ind w:firstLine="540"/>
        <w:jc w:val="both"/>
        <w:rPr/>
      </w:pPr>
      <w:r>
        <w:rPr/>
        <w:t>- отсутствия полного комплекта документов;</w:t>
      </w:r>
    </w:p>
    <w:p>
      <w:pPr>
        <w:pStyle w:val="ConsPlusNormal"/>
        <w:spacing w:before="200" w:after="200"/>
        <w:ind w:firstLine="540"/>
        <w:jc w:val="both"/>
        <w:rPr/>
      </w:pPr>
      <w:r>
        <w:rPr/>
        <w:t>- несвоевременного информирования Субъектом централизованного учета о внесении изменений в первичные учетные документы, принятые к учету ЦБ;</w:t>
      </w:r>
    </w:p>
    <w:p>
      <w:pPr>
        <w:pStyle w:val="ConsPlusNormal"/>
        <w:spacing w:before="200" w:after="200"/>
        <w:ind w:firstLine="540"/>
        <w:jc w:val="both"/>
        <w:rPr/>
      </w:pPr>
      <w:r>
        <w:rPr/>
        <w:t>- неисполнения (несвоевременного исполнения) Субъектом централизованного учета обязанностей по предоставлению документов;</w:t>
      </w:r>
    </w:p>
    <w:p>
      <w:pPr>
        <w:pStyle w:val="ConsPlusNormal"/>
        <w:spacing w:before="200" w:after="200"/>
        <w:ind w:firstLine="540"/>
        <w:jc w:val="both"/>
        <w:rPr/>
      </w:pPr>
      <w:r>
        <w:rPr/>
        <w:t>- нахождения вопроса в стадии методологической проработки.</w:t>
      </w:r>
    </w:p>
    <w:p>
      <w:pPr>
        <w:pStyle w:val="ConsPlusNormal"/>
        <w:spacing w:before="200" w:after="200"/>
        <w:ind w:firstLine="540"/>
        <w:jc w:val="both"/>
        <w:rPr/>
      </w:pPr>
      <w:r>
        <w:rPr/>
        <w:t>10.6. При поступлении претензий и замечаний к подготовленной бюджетной отчетности от контролирующих органов они направляются Субъектом централизованного учета в ЦБ не позднее дня следующего за днем их поступления.</w:t>
      </w:r>
    </w:p>
    <w:p>
      <w:pPr>
        <w:pStyle w:val="ConsPlusNormal"/>
        <w:spacing w:before="200" w:after="200"/>
        <w:ind w:firstLine="540"/>
        <w:jc w:val="both"/>
        <w:rPr/>
      </w:pPr>
      <w:r>
        <w:rPr/>
        <w:t>10.7. ЦБ рассматривает поступившие претензии и замечания к бухгалтерской (финансовой) отчетности в течение 2 (двух) рабочих дней после получения от Субъекта централизованного учета письменной информации о содержании претензий и замечаний. Срок рассмотрения претензий и замечаний может быть сокращен или продлен по взаимному согласию Субъекта централизованного учета и ЦБ.</w:t>
      </w:r>
    </w:p>
    <w:p>
      <w:pPr>
        <w:pStyle w:val="ConsPlusNormal"/>
        <w:spacing w:before="200" w:after="200"/>
        <w:ind w:firstLine="540"/>
        <w:jc w:val="both"/>
        <w:rPr/>
      </w:pPr>
      <w:r>
        <w:rPr/>
        <w:t>После согласования Субъектом централизованного учета и ЦБ претензий и замечаний к бухгалтерской (финансовой) отчетности, необходимые изменения вносятся ЦБ в бухгалтерской (финансовой) отчетность (или в промежуточную бухгалтерскую (финансовую) отчетность в следующем отчетном периоде) в течение 2 (двух) рабочих дней.</w:t>
      </w:r>
    </w:p>
    <w:p>
      <w:pPr>
        <w:pStyle w:val="ConsPlusNormal"/>
        <w:spacing w:before="200" w:after="200"/>
        <w:ind w:firstLine="540"/>
        <w:jc w:val="both"/>
        <w:rPr/>
      </w:pPr>
      <w:r>
        <w:rPr/>
        <w:t>Руководитель (уполномоченный работник) Субъекта централизованного учета подписывает данную бухгалтерскую (финансовую) отчетность, квалифицированной ЭП, в течение 2-х рабочих дней.</w:t>
      </w:r>
    </w:p>
    <w:p>
      <w:pPr>
        <w:pStyle w:val="ConsPlusNormal"/>
        <w:spacing w:before="200" w:after="200"/>
        <w:ind w:firstLine="540"/>
        <w:jc w:val="both"/>
        <w:rPr/>
      </w:pPr>
      <w:r>
        <w:rPr/>
        <w:t>10.8. Информация о событиях после отчетной даты направляется Субъектом централизованного учета в адрес ЦБ и отражается ЦБ в бухгалтерской (финансовой) отчетности в соответствии с требованиями действующего законодательства.</w:t>
      </w:r>
    </w:p>
    <w:p>
      <w:pPr>
        <w:pStyle w:val="ConsPlusNormal"/>
        <w:spacing w:before="200" w:after="200"/>
        <w:ind w:firstLine="540"/>
        <w:jc w:val="both"/>
        <w:rPr/>
      </w:pPr>
      <w:r>
        <w:rPr/>
        <w:t>10.9. В случае, если в период между датой подписания бухгалтерской (финансовой) отчетности и датой ее утверждения в установленном порядке у Субъекта централизованного учета появляется новая информация о событиях после отчетной даты, которые могут оказать существенное влияние на финансовое состояние, движение денежных средств или результаты деятельности Субъекта централизованного учета, Субъект централизованного учета обязан незамедлительно представить ЦБ в письменной форме информацию о данных событиях в течение одного рабочего дня с момента выявления новой информации.</w:t>
      </w:r>
    </w:p>
    <w:p>
      <w:pPr>
        <w:pStyle w:val="ConsPlusNormal"/>
        <w:jc w:val="both"/>
        <w:rPr/>
      </w:pPr>
      <w:r>
        <w:rPr/>
      </w:r>
    </w:p>
    <w:p>
      <w:pPr>
        <w:pStyle w:val="ConsPlusTitle"/>
        <w:numPr>
          <w:ilvl w:val="0"/>
          <w:numId w:val="0"/>
        </w:numPr>
        <w:ind w:left="0" w:hanging="0"/>
        <w:jc w:val="center"/>
        <w:outlineLvl w:val="1"/>
        <w:rPr/>
      </w:pPr>
      <w:r>
        <w:rPr/>
        <w:t>11. Порядок взаимодействия при согласовании</w:t>
      </w:r>
    </w:p>
    <w:p>
      <w:pPr>
        <w:pStyle w:val="ConsPlusTitle"/>
        <w:jc w:val="center"/>
        <w:rPr/>
      </w:pPr>
      <w:r>
        <w:rPr/>
        <w:t>налоговой отчетности Субъекта централизованного учета</w:t>
      </w:r>
    </w:p>
    <w:p>
      <w:pPr>
        <w:pStyle w:val="ConsPlusTitle"/>
        <w:jc w:val="center"/>
        <w:rPr/>
      </w:pPr>
      <w:r>
        <w:rPr/>
        <w:t>и отчетности Субъекта централизованного учета</w:t>
      </w:r>
    </w:p>
    <w:p>
      <w:pPr>
        <w:pStyle w:val="ConsPlusTitle"/>
        <w:jc w:val="center"/>
        <w:rPr/>
      </w:pPr>
      <w:r>
        <w:rPr/>
        <w:t>в государственные внебюджетные фонды</w:t>
      </w:r>
    </w:p>
    <w:p>
      <w:pPr>
        <w:pStyle w:val="ConsPlusNormal"/>
        <w:jc w:val="both"/>
        <w:rPr/>
      </w:pPr>
      <w:r>
        <w:rPr/>
      </w:r>
    </w:p>
    <w:p>
      <w:pPr>
        <w:pStyle w:val="ConsPlusNormal"/>
        <w:ind w:firstLine="540"/>
        <w:jc w:val="both"/>
        <w:rPr/>
      </w:pPr>
      <w:r>
        <w:rPr/>
        <w:t>11.1. С целью формирования налоговой отчетности по налогу на добавленную стоимость, налогу на прибыль, налога при специальной системе налогообложения, Субъект централизованного учета предоставляет ЦБ в электронном виде:</w:t>
      </w:r>
    </w:p>
    <w:p>
      <w:pPr>
        <w:pStyle w:val="ConsPlusNormal"/>
        <w:ind w:firstLine="540"/>
        <w:jc w:val="both"/>
        <w:rPr/>
      </w:pPr>
      <w:r>
        <w:rPr/>
        <w:t>-книгу продаж;</w:t>
      </w:r>
    </w:p>
    <w:p>
      <w:pPr>
        <w:pStyle w:val="ConsPlusNormal"/>
        <w:ind w:firstLine="540"/>
        <w:jc w:val="both"/>
        <w:rPr/>
      </w:pPr>
      <w:r>
        <w:rPr/>
        <w:t>-книгу покупок.</w:t>
      </w:r>
    </w:p>
    <w:p>
      <w:pPr>
        <w:pStyle w:val="ConsPlusNormal"/>
        <w:ind w:firstLine="540"/>
        <w:jc w:val="both"/>
        <w:rPr/>
      </w:pPr>
      <w:r>
        <w:rPr/>
        <w:t>Субъект централизованного учета определяет с учетом специфики деятельности учреждения состав доходов от реализации и внереализационных доходов; группировку расходов:</w:t>
      </w:r>
    </w:p>
    <w:p>
      <w:pPr>
        <w:pStyle w:val="ConsPlusNormal"/>
        <w:ind w:firstLine="540"/>
        <w:jc w:val="both"/>
        <w:rPr/>
      </w:pPr>
      <w:r>
        <w:rPr/>
        <w:t>- непосредственно связанных с осуществлением приносящей доход деятельности и направленных на получение собственных доходов;</w:t>
      </w:r>
    </w:p>
    <w:p>
      <w:pPr>
        <w:pStyle w:val="ConsPlusNormal"/>
        <w:ind w:firstLine="540"/>
        <w:jc w:val="both"/>
        <w:rPr/>
      </w:pPr>
      <w:r>
        <w:rPr/>
        <w:t>- которые не могут быть непосредственно отнесены на затраты по конкретному виду деятельности и подлежат распределению;</w:t>
      </w:r>
    </w:p>
    <w:p>
      <w:pPr>
        <w:pStyle w:val="ConsPlusNormal"/>
        <w:ind w:firstLine="540"/>
        <w:jc w:val="both"/>
        <w:rPr/>
      </w:pPr>
      <w:r>
        <w:rPr/>
        <w:t>- связанных исключительно с деятельностью по выполнению государственного задания, финансовое обеспечение которой осуществляется за счет целевых средств и не учитываются при налогообложении.</w:t>
      </w:r>
    </w:p>
    <w:p>
      <w:pPr>
        <w:pStyle w:val="ConsPlusNormal"/>
        <w:ind w:firstLine="540"/>
        <w:jc w:val="both"/>
        <w:rPr>
          <w:shd w:fill="DDE8CB" w:val="clear"/>
        </w:rPr>
      </w:pPr>
      <w:r>
        <w:rPr>
          <w:shd w:fill="DDE8CB" w:val="clear"/>
        </w:rPr>
      </w:r>
    </w:p>
    <w:p>
      <w:pPr>
        <w:pStyle w:val="ConsPlusNormal"/>
        <w:ind w:firstLine="540"/>
        <w:jc w:val="both"/>
        <w:rPr/>
      </w:pPr>
      <w:r>
        <w:rPr/>
        <w:t>11.2. Отчетность Субъекта централизованного учета, предоставляемая в налоговые органы и государственные внебюджетные фонды (далее - контролирующие органы) по месту учета Субъекта централизованного учета в качестве налогоплательщика (страхователя), подписывается руководителем ЦБ или Уполномоченным работником ЦБ.</w:t>
      </w:r>
    </w:p>
    <w:p>
      <w:pPr>
        <w:pStyle w:val="ConsPlusNormal"/>
        <w:ind w:firstLine="540"/>
        <w:jc w:val="both"/>
        <w:rPr/>
      </w:pPr>
      <w:r>
        <w:rPr/>
      </w:r>
    </w:p>
    <w:p>
      <w:pPr>
        <w:pStyle w:val="ConsPlusNormal"/>
        <w:ind w:firstLine="540"/>
        <w:jc w:val="both"/>
        <w:rPr/>
      </w:pPr>
      <w:r>
        <w:rPr/>
        <w:t>11.3. Сотрудник ЦБ, ответственный за формирование и своевременную передачу налоговой отчетности и отчетности в государственные внебюджетные фонды (далее - налоговая отчетность), обеспечивает ее отправку в контролирующие органы в электронном виде (в установленном порядке) не позже даты, установленной законодательством Российской Федерации.</w:t>
      </w:r>
    </w:p>
    <w:p>
      <w:pPr>
        <w:pStyle w:val="ConsPlusNormal"/>
        <w:spacing w:before="200" w:after="200"/>
        <w:ind w:firstLine="540"/>
        <w:jc w:val="both"/>
        <w:rPr/>
      </w:pPr>
      <w:r>
        <w:rPr/>
        <w:t>Сформированная и подписанная ЦБ налоговая отчетность предоставляется Субъекту централизованного учета в электронном виде путем открытия доступа к программному продукту по передаче налоговой отчетности, используемому ЦБ, либо скан-образы налоговых отчетов по запросу Субъекта централизованного учета.</w:t>
      </w:r>
    </w:p>
    <w:p>
      <w:pPr>
        <w:pStyle w:val="ConsPlusNormal"/>
        <w:spacing w:before="200" w:after="200"/>
        <w:ind w:firstLine="540"/>
        <w:jc w:val="both"/>
        <w:rPr/>
      </w:pPr>
      <w:r>
        <w:rPr/>
        <w:t>11.4. При поступлении от Субъекта централизованного учета мотивированных замечаний в письменной форме об ошибках, ЦБ в течение 1 (одного) рабочего дня должно устранить ошибки, внести изменения в отчетность либо, при отсутствии возможности учесть замечания, информировать об этом Субъект централизованного учета в письменной форме.</w:t>
      </w:r>
    </w:p>
    <w:p>
      <w:pPr>
        <w:pStyle w:val="ConsPlusNormal"/>
        <w:spacing w:before="200" w:after="200"/>
        <w:ind w:firstLine="540"/>
        <w:jc w:val="both"/>
        <w:rPr/>
      </w:pPr>
      <w:r>
        <w:rPr/>
        <w:t>В случае, если ЦБ не имеет возможности принять к исполнению и учесть мотивированные замечания Субъекта централизованного учета в установленные законодательством Российской Федерации сроки при подготовке налоговой отчетности, то ЦБ информирует об этом Субъект централизованного учета.</w:t>
      </w:r>
    </w:p>
    <w:p>
      <w:pPr>
        <w:pStyle w:val="ConsPlusNormal"/>
        <w:spacing w:before="200" w:after="200"/>
        <w:ind w:firstLine="540"/>
        <w:jc w:val="both"/>
        <w:rPr/>
      </w:pPr>
      <w:r>
        <w:rPr/>
        <w:t>По таким замечаниям и возражениям ЦБ должен подготовить уточненную налоговую отчетность.</w:t>
      </w:r>
    </w:p>
    <w:p>
      <w:pPr>
        <w:pStyle w:val="ConsPlusNormal"/>
        <w:spacing w:before="200" w:after="200"/>
        <w:ind w:firstLine="540"/>
        <w:jc w:val="both"/>
        <w:rPr/>
      </w:pPr>
      <w:r>
        <w:rPr/>
        <w:t>11.5. Замечания Субъекта централизованного учета к налоговой отчетности отклоняются ЦБ в случае:</w:t>
      </w:r>
    </w:p>
    <w:p>
      <w:pPr>
        <w:pStyle w:val="ConsPlusNormal"/>
        <w:spacing w:before="200" w:after="200"/>
        <w:ind w:firstLine="540"/>
        <w:jc w:val="both"/>
        <w:rPr/>
      </w:pPr>
      <w:r>
        <w:rPr/>
        <w:t>- отсутствия у ЦБ первичных учетных документов, которые должны были быть переданы Субъектом централизованного учета и отражены в отчетном периоде;</w:t>
      </w:r>
    </w:p>
    <w:p>
      <w:pPr>
        <w:pStyle w:val="ConsPlusNormal"/>
        <w:spacing w:before="200" w:after="200"/>
        <w:ind w:firstLine="540"/>
        <w:jc w:val="both"/>
        <w:rPr/>
      </w:pPr>
      <w:r>
        <w:rPr/>
        <w:t>- оформления первичных учетных документов с нарушением законодательства Российской Федерации, переданных Субъектом централизованного учета и принятых ЦБ к учету на основании письменного указания Субъекта централизованного учета;</w:t>
      </w:r>
    </w:p>
    <w:p>
      <w:pPr>
        <w:pStyle w:val="ConsPlusNormal"/>
        <w:spacing w:before="200" w:after="200"/>
        <w:ind w:firstLine="540"/>
        <w:jc w:val="both"/>
        <w:rPr/>
      </w:pPr>
      <w:r>
        <w:rPr/>
        <w:t>- при несоответствии документального оформления свершившимся фактам хозяйственной жизни;</w:t>
      </w:r>
    </w:p>
    <w:p>
      <w:pPr>
        <w:pStyle w:val="ConsPlusNormal"/>
        <w:spacing w:before="200" w:after="200"/>
        <w:ind w:firstLine="540"/>
        <w:jc w:val="both"/>
        <w:rPr/>
      </w:pPr>
      <w:r>
        <w:rPr/>
        <w:t>- отсутствия полного комплекта документов;</w:t>
      </w:r>
    </w:p>
    <w:p>
      <w:pPr>
        <w:pStyle w:val="ConsPlusNormal"/>
        <w:spacing w:before="200" w:after="200"/>
        <w:ind w:firstLine="540"/>
        <w:jc w:val="both"/>
        <w:rPr/>
      </w:pPr>
      <w:r>
        <w:rPr/>
        <w:t>- несвоевременного информирования Субъектом централизованного учета о внесении изменений в первичные учетные документы, принятые к учету ЦБ;</w:t>
      </w:r>
    </w:p>
    <w:p>
      <w:pPr>
        <w:pStyle w:val="ConsPlusNormal"/>
        <w:spacing w:before="200" w:after="200"/>
        <w:ind w:firstLine="540"/>
        <w:jc w:val="both"/>
        <w:rPr/>
      </w:pPr>
      <w:r>
        <w:rPr/>
        <w:t>- неисполнения (несвоевременного исполнения) Субъектом централизованного учета обязанностей по предоставлению документов;</w:t>
      </w:r>
    </w:p>
    <w:p>
      <w:pPr>
        <w:pStyle w:val="ConsPlusNormal"/>
        <w:spacing w:before="200" w:after="200"/>
        <w:ind w:firstLine="540"/>
        <w:jc w:val="both"/>
        <w:rPr/>
      </w:pPr>
      <w:r>
        <w:rPr/>
        <w:t>- нахождения вопроса в стадии методологической проработки.</w:t>
      </w:r>
    </w:p>
    <w:p>
      <w:pPr>
        <w:pStyle w:val="ConsPlusNormal"/>
        <w:spacing w:before="200" w:after="200"/>
        <w:ind w:firstLine="540"/>
        <w:jc w:val="both"/>
        <w:rPr/>
      </w:pPr>
      <w:r>
        <w:rPr/>
        <w:t>11.6. В целях оперативности взаимодействия в части направления и согласования отчетности, Стороны могут вести переписку и направлять документы по электронной почте или с использованием системы электронного документооборота с последующим предоставлением бумажных документов по сопроводительному реестру.</w:t>
      </w:r>
    </w:p>
    <w:p>
      <w:pPr>
        <w:pStyle w:val="ConsPlusNormal"/>
        <w:spacing w:before="200" w:after="200"/>
        <w:ind w:firstLine="540"/>
        <w:jc w:val="both"/>
        <w:rPr/>
      </w:pPr>
      <w:r>
        <w:rPr/>
        <w:t>11.7. При поступлении претензий к подготовленной налоговой отчетности от налоговых органов, ЦБ рассматривает поступившие претензии и замечания в сроки, установленные налоговым законодательством Российской Федерации. На основании анализа содержания претензий и замечаний ЦБ формирует Справку с перечнем необходимых изменений в налоговую отчетность и порядок их внесения или готовит мотивированный отказ. Справка согласуется с Субъектом централизованного учета в течение 2 (двух) рабочих дней с даты ее составления.</w:t>
      </w:r>
    </w:p>
    <w:p>
      <w:pPr>
        <w:pStyle w:val="ConsPlusNormal"/>
        <w:spacing w:before="200" w:after="200"/>
        <w:ind w:firstLine="540"/>
        <w:jc w:val="both"/>
        <w:rPr/>
      </w:pPr>
      <w:r>
        <w:rPr/>
        <w:t>После согласования вышеуказанной Справки необходимые изменения ЦБ вносятся в налоговую отчетность.</w:t>
      </w:r>
    </w:p>
    <w:p>
      <w:pPr>
        <w:pStyle w:val="ConsPlusNormal"/>
        <w:jc w:val="both"/>
        <w:rPr/>
      </w:pPr>
      <w:r>
        <w:rPr/>
      </w:r>
    </w:p>
    <w:p>
      <w:pPr>
        <w:pStyle w:val="ConsPlusTitle"/>
        <w:numPr>
          <w:ilvl w:val="0"/>
          <w:numId w:val="0"/>
        </w:numPr>
        <w:ind w:left="0" w:hanging="0"/>
        <w:jc w:val="center"/>
        <w:outlineLvl w:val="1"/>
        <w:rPr/>
      </w:pPr>
      <w:r>
        <w:rPr/>
        <w:t>12. Взаимодействие по прочим общим вопросам</w:t>
      </w:r>
    </w:p>
    <w:p>
      <w:pPr>
        <w:pStyle w:val="ConsPlusNormal"/>
        <w:jc w:val="both"/>
        <w:rPr/>
      </w:pPr>
      <w:r>
        <w:rPr/>
      </w:r>
    </w:p>
    <w:p>
      <w:pPr>
        <w:pStyle w:val="ConsPlusNormal"/>
        <w:ind w:firstLine="540"/>
        <w:jc w:val="both"/>
        <w:rPr/>
      </w:pPr>
      <w:r>
        <w:rPr/>
        <w:t>12.1. В случае проведения Субъектом централизованного учета совещания, заседания, комиссии по вопросам, входящим в компетенцию ЦБ и требующим присутствия представителя ЦБ, дата, тема и место проведения мероприятия должны быть согласованы с ЦБ в письменной форме не позднее 2 (двух) рабочих дней до даты его проведения.</w:t>
      </w:r>
    </w:p>
    <w:p>
      <w:pPr>
        <w:pStyle w:val="ConsPlusNormal"/>
        <w:spacing w:before="200" w:after="200"/>
        <w:ind w:firstLine="540"/>
        <w:jc w:val="both"/>
        <w:rPr/>
      </w:pPr>
      <w:r>
        <w:rPr/>
        <w:t>О возможности присутствия представителя ЦБ сообщает Субъекту централизованного учета в письменной форме в течение 1 (одного) рабочего дня с даты поступления сообщения от Субъекта централизованного учета о планируемых мероприятиях.</w:t>
      </w:r>
    </w:p>
    <w:p>
      <w:pPr>
        <w:pStyle w:val="ConsPlusNormal"/>
        <w:spacing w:before="200" w:after="200"/>
        <w:ind w:firstLine="540"/>
        <w:jc w:val="both"/>
        <w:rPr/>
      </w:pPr>
      <w:r>
        <w:rPr/>
        <w:t>В отдельных случаях, требующих оперативного решения вышеуказанных вопросов, представители ЦБ могут быть направлены ЦБ в иные согласованные Сторонами сроки.</w:t>
      </w:r>
    </w:p>
    <w:p>
      <w:pPr>
        <w:pStyle w:val="ConsPlusNormal"/>
        <w:spacing w:before="200" w:after="200"/>
        <w:ind w:firstLine="540"/>
        <w:jc w:val="both"/>
        <w:rPr/>
      </w:pPr>
      <w:r>
        <w:rPr/>
        <w:t>12.2. Для получения разъяснений и дополнительной информации о подготовленной отчетности и учетном процессе Субъект централизованного учета направляет ЦБ письменный запрос. При необходимости ЦБ в зависимости от объема представляемой информации и возможности ЕЦИС дополнительно согласовывает с Субъектом централизованного учета форму и сроки представления дополнительной информации.</w:t>
      </w:r>
    </w:p>
    <w:p>
      <w:pPr>
        <w:pStyle w:val="ConsPlusNormal"/>
        <w:spacing w:before="200" w:after="200"/>
        <w:ind w:firstLine="540"/>
        <w:jc w:val="both"/>
        <w:rPr/>
      </w:pPr>
      <w:r>
        <w:rPr/>
        <w:t>ЦБ осуществляет подготовку ответов на письма и запросы от налоговых органов и государственных внебюджетных фондов, органов государственной статистики, касающиеся бухгалтерского учета, составления и представления отчетности.</w:t>
      </w:r>
    </w:p>
    <w:p>
      <w:pPr>
        <w:pStyle w:val="ConsPlusNormal"/>
        <w:spacing w:before="200" w:after="200"/>
        <w:ind w:firstLine="540"/>
        <w:jc w:val="both"/>
        <w:rPr/>
      </w:pPr>
      <w:r>
        <w:rPr/>
        <w:t>12.3. В случае неоднозначного толкования законодательных и иных нормативных актов по бухгалтерскому и налоговому учету, ЦБ извещает Субъект централизованного учета о выявленных противоречиях и предоставляет мотивированные предложения по разрешению спорных вопросов.</w:t>
      </w:r>
    </w:p>
    <w:p>
      <w:pPr>
        <w:pStyle w:val="ConsPlusNormal"/>
        <w:spacing w:before="200" w:after="200"/>
        <w:ind w:firstLine="540"/>
        <w:jc w:val="both"/>
        <w:rPr/>
      </w:pPr>
      <w:r>
        <w:rPr/>
        <w:t>Стороны совместно определяют порядок, уполномоченных лиц и сроки проработки возникших вопросов.</w:t>
      </w:r>
    </w:p>
    <w:p>
      <w:pPr>
        <w:pStyle w:val="ConsPlusNormal"/>
        <w:spacing w:before="200" w:after="200"/>
        <w:ind w:firstLine="540"/>
        <w:jc w:val="both"/>
        <w:rPr/>
      </w:pPr>
      <w:r>
        <w:rPr/>
        <w:t>12.4. Сторонами согласовывается Протокол о принятии соответствующих решений с фиксированием сроков их принятия и исполнения. Принятые решения являются для Сторон обязательными к исполнению.</w:t>
      </w:r>
    </w:p>
    <w:p>
      <w:pPr>
        <w:pStyle w:val="ConsPlusNormal"/>
        <w:spacing w:before="200" w:after="200"/>
        <w:ind w:firstLine="540"/>
        <w:jc w:val="both"/>
        <w:rPr/>
      </w:pPr>
      <w:r>
        <w:rPr/>
        <w:t>12.5. При необходимости получения консультаций по вопросам бухгалтерского (бюджетного) учета и подготовки отчетности Субъект централизованного учета направляет запрос ЦБ.</w:t>
      </w:r>
    </w:p>
    <w:p>
      <w:pPr>
        <w:pStyle w:val="ConsPlusNormal"/>
        <w:spacing w:before="200" w:after="200"/>
        <w:ind w:firstLine="540"/>
        <w:jc w:val="both"/>
        <w:rPr/>
      </w:pPr>
      <w:r>
        <w:rPr/>
        <w:t>ЦБ предоставляет ответы на запросы Субъекта централизованного учета (консультации) в течение 5 (пяти) рабочих дней с даты поступления запроса. Срок может быть сокращен или продлен по взаимному согласию Субъекта централизованного учета и ЦБ.</w:t>
      </w:r>
    </w:p>
    <w:p>
      <w:pPr>
        <w:pStyle w:val="ConsPlusNormal"/>
        <w:spacing w:before="200" w:after="200"/>
        <w:ind w:firstLine="540"/>
        <w:jc w:val="both"/>
        <w:rPr/>
      </w:pPr>
      <w:r>
        <w:rPr/>
        <w:t>Форма предоставления консультации (устное или письменное заключение) согласовывается Сторонами. При необходимости подготовки письменного заключения или консультации Субъект централизованного учета должен передать запрос ЦБ в письменной форме.</w:t>
      </w:r>
    </w:p>
    <w:p>
      <w:pPr>
        <w:pStyle w:val="ConsPlusNormal"/>
        <w:spacing w:before="200" w:after="200"/>
        <w:ind w:firstLine="540"/>
        <w:jc w:val="both"/>
        <w:rPr/>
      </w:pPr>
      <w:r>
        <w:rPr/>
        <w:t>12.6. ЦБ организует проведение краткосрочных семинаров для обучения работников Субъекта централизованного учета по вопросам бухгалтерского учета и подготовки отчетности. Краткосрочные семинары проводятся по предварительной заявке Субъекта централизованного учета, согласованной ЦБ.</w:t>
      </w:r>
    </w:p>
    <w:p>
      <w:pPr>
        <w:pStyle w:val="ConsPlusNormal"/>
        <w:spacing w:before="200" w:after="200"/>
        <w:ind w:firstLine="540"/>
        <w:jc w:val="both"/>
        <w:rPr/>
      </w:pPr>
      <w:r>
        <w:rPr/>
        <w:t>При организации и проведении ЦБ для Субъекта централизованного учета семинаров Стороны предварительно согласовывают программу, время и место их проведения не менее чем за 15 (пятнадцать) рабочих дней до начала проведения семинаров.</w:t>
      </w:r>
    </w:p>
    <w:p>
      <w:pPr>
        <w:pStyle w:val="ConsPlusNormal"/>
        <w:jc w:val="both"/>
        <w:rPr/>
      </w:pPr>
      <w:r>
        <w:rPr/>
      </w:r>
    </w:p>
    <w:p>
      <w:pPr>
        <w:pStyle w:val="ConsPlusTitle"/>
        <w:numPr>
          <w:ilvl w:val="0"/>
          <w:numId w:val="0"/>
        </w:numPr>
        <w:ind w:left="0" w:hanging="0"/>
        <w:jc w:val="center"/>
        <w:outlineLvl w:val="1"/>
        <w:rPr/>
      </w:pPr>
      <w:r>
        <w:rPr/>
        <w:t>13. Участие ЦБ в проверках Субъекта</w:t>
      </w:r>
    </w:p>
    <w:p>
      <w:pPr>
        <w:pStyle w:val="ConsPlusTitle"/>
        <w:jc w:val="center"/>
        <w:rPr/>
      </w:pPr>
      <w:r>
        <w:rPr/>
        <w:t>централизованного учета налоговыми органами</w:t>
      </w:r>
    </w:p>
    <w:p>
      <w:pPr>
        <w:pStyle w:val="ConsPlusTitle"/>
        <w:jc w:val="center"/>
        <w:rPr/>
      </w:pPr>
      <w:r>
        <w:rPr/>
        <w:t>и государственными внебюджетными фондами</w:t>
      </w:r>
    </w:p>
    <w:p>
      <w:pPr>
        <w:pStyle w:val="ConsPlusNormal"/>
        <w:jc w:val="both"/>
        <w:rPr/>
      </w:pPr>
      <w:r>
        <w:rPr/>
      </w:r>
    </w:p>
    <w:p>
      <w:pPr>
        <w:pStyle w:val="ConsPlusNormal"/>
        <w:ind w:firstLine="540"/>
        <w:jc w:val="both"/>
        <w:rPr/>
      </w:pPr>
      <w:r>
        <w:rPr/>
        <w:t>13.1. Субъект централизованного учета при необходимости в письменном виде запрашивает первичные учетные документы, находящиеся у ЦБ, указывает сроки и форму предоставления дополнительной информации. Запрос, поступивший ЦБ, регистрируется и передается для организации работы и контроля исполнения Уполномоченному работнику ЦБ.</w:t>
      </w:r>
    </w:p>
    <w:p>
      <w:pPr>
        <w:pStyle w:val="ConsPlusNormal"/>
        <w:spacing w:before="200" w:after="200"/>
        <w:ind w:firstLine="540"/>
        <w:jc w:val="both"/>
        <w:rPr/>
      </w:pPr>
      <w:r>
        <w:rPr/>
        <w:t>13.2. ЦБ в сроки, указанные в запросе, готовит и передает Субъекту централизованного учета в бумажном или, по согласованию с Субъектом централизованного учета, электронном виде необходимую информацию и передает запрашиваемые первичные учетные документы и информацию по реестру.</w:t>
      </w:r>
    </w:p>
    <w:p>
      <w:pPr>
        <w:pStyle w:val="ConsPlusNormal"/>
        <w:spacing w:before="200" w:after="200"/>
        <w:ind w:firstLine="540"/>
        <w:jc w:val="both"/>
        <w:rPr/>
      </w:pPr>
      <w:r>
        <w:rPr/>
        <w:t>13.3. В случае невозможности предоставления информации и первичных учетных документов, указанных в запросе, ЦБ в течение 2 (двух) рабочих дней формирует и передает Субъекту централизованного учета мотивированный отказ.</w:t>
      </w:r>
    </w:p>
    <w:p>
      <w:pPr>
        <w:pStyle w:val="ConsPlusNormal"/>
        <w:jc w:val="both"/>
        <w:rPr/>
      </w:pPr>
      <w:r>
        <w:rPr/>
      </w:r>
    </w:p>
    <w:p>
      <w:pPr>
        <w:pStyle w:val="ConsPlusTitle"/>
        <w:numPr>
          <w:ilvl w:val="0"/>
          <w:numId w:val="0"/>
        </w:numPr>
        <w:ind w:left="0" w:hanging="0"/>
        <w:jc w:val="center"/>
        <w:outlineLvl w:val="1"/>
        <w:rPr/>
      </w:pPr>
      <w:r>
        <w:rPr/>
        <w:t>14. Подписание документов, подготовленных ЦБ</w:t>
      </w:r>
    </w:p>
    <w:p>
      <w:pPr>
        <w:pStyle w:val="ConsPlusNormal"/>
        <w:jc w:val="both"/>
        <w:rPr/>
      </w:pPr>
      <w:r>
        <w:rPr/>
      </w:r>
    </w:p>
    <w:p>
      <w:pPr>
        <w:pStyle w:val="ConsPlusNormal"/>
        <w:ind w:firstLine="540"/>
        <w:jc w:val="both"/>
        <w:rPr/>
      </w:pPr>
      <w:r>
        <w:rPr/>
        <w:t>При возникновении необходимости утверждения (подписания) каких-либо документов Субъектом централизованного учета, подготовленных ЦБ, Субъект централизованного учета должен рассмотреть и подписать передаваемые ему документы в течение 3 (трех) рабочих дней с даты их получения и направить ЦБ (в отдельных случаях, по согласованию Сторон, срок подписания документов может быть изменен).</w:t>
      </w:r>
    </w:p>
    <w:p>
      <w:pPr>
        <w:pStyle w:val="ConsPlusNormal"/>
        <w:jc w:val="both"/>
        <w:rPr/>
      </w:pPr>
      <w:r>
        <w:rPr/>
      </w:r>
    </w:p>
    <w:p>
      <w:pPr>
        <w:pStyle w:val="ConsPlusTitle"/>
        <w:numPr>
          <w:ilvl w:val="0"/>
          <w:numId w:val="0"/>
        </w:numPr>
        <w:ind w:left="0" w:hanging="0"/>
        <w:jc w:val="center"/>
        <w:outlineLvl w:val="1"/>
        <w:rPr/>
      </w:pPr>
      <w:r>
        <w:rPr/>
        <w:t>15. Ответственность Сторон</w:t>
      </w:r>
    </w:p>
    <w:p>
      <w:pPr>
        <w:pStyle w:val="ConsPlusNormal"/>
        <w:jc w:val="both"/>
        <w:rPr/>
      </w:pPr>
      <w:r>
        <w:rPr/>
      </w:r>
    </w:p>
    <w:p>
      <w:pPr>
        <w:pStyle w:val="ConsPlusNormal"/>
        <w:ind w:firstLine="540"/>
        <w:jc w:val="both"/>
        <w:rPr/>
      </w:pPr>
      <w:r>
        <w:rPr/>
        <w:t>Ответственность за выявленные контролирующими органами нарушения, возникшие по причине неисполнения или ненадлежащего исполнения обязанностей, несет Сторона, допустившая их, в соответствии с законодательством Российской Федерации.</w:t>
      </w:r>
    </w:p>
    <w:p>
      <w:pPr>
        <w:pStyle w:val="ConsPlusNormal"/>
        <w:jc w:val="both"/>
        <w:rPr/>
      </w:pPr>
      <w:r>
        <w:rPr/>
      </w:r>
    </w:p>
    <w:p>
      <w:pPr>
        <w:pStyle w:val="Normal"/>
        <w:spacing w:lineRule="auto" w:line="240" w:before="0" w:after="0"/>
        <w:rPr>
          <w:rFonts w:ascii="Arial" w:hAnsi="Arial" w:eastAsia="" w:cs="Arial" w:eastAsiaTheme="minorEastAsia"/>
          <w:sz w:val="20"/>
          <w:lang w:eastAsia="ru-RU"/>
        </w:rPr>
      </w:pPr>
      <w:r>
        <w:rPr>
          <w:rFonts w:eastAsia="" w:cs="Arial" w:eastAsiaTheme="minorEastAsia" w:ascii="Arial" w:hAnsi="Arial"/>
          <w:sz w:val="20"/>
          <w:lang w:eastAsia="ru-RU"/>
        </w:rPr>
      </w:r>
      <w:r>
        <w:br w:type="page"/>
      </w:r>
    </w:p>
    <w:p>
      <w:pPr>
        <w:pStyle w:val="ConsPlusNormal"/>
        <w:jc w:val="both"/>
        <w:rPr/>
      </w:pPr>
      <w:r>
        <w:rPr/>
      </w:r>
    </w:p>
    <w:p>
      <w:pPr>
        <w:pStyle w:val="ConsPlusNormal"/>
        <w:numPr>
          <w:ilvl w:val="0"/>
          <w:numId w:val="0"/>
        </w:numPr>
        <w:ind w:left="0" w:hanging="0"/>
        <w:jc w:val="right"/>
        <w:outlineLvl w:val="1"/>
        <w:rPr/>
      </w:pPr>
      <w:r>
        <w:rPr/>
        <w:t>Приложение N 1</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Title"/>
        <w:jc w:val="center"/>
        <w:rPr/>
      </w:pPr>
      <w:bookmarkStart w:id="4" w:name="P479"/>
      <w:bookmarkEnd w:id="4"/>
      <w:r>
        <w:rPr/>
        <w:t>РАСПРЕДЕЛЕНИЕ</w:t>
      </w:r>
    </w:p>
    <w:p>
      <w:pPr>
        <w:pStyle w:val="ConsPlusTitle"/>
        <w:jc w:val="center"/>
        <w:rPr/>
      </w:pPr>
      <w:r>
        <w:rPr/>
        <w:t>ФУНКЦИЙ МЕЖДУ СУБЪЕКТОМ ЦЕНТРАЛИЗОВАННОГО УЧЕТА И ЦБ ПРИ РЕАЛИЗАЦИИ РЕГЛАМЕНТА ВЗАИМОДЕЙСТВИЯ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В СЛУЧАЕ ЗАКЛЮЧЕНИЯ ДОГОВОРОВ ОБ ОКАЗАНИИ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pPr>
        <w:pStyle w:val="ConsPlusNormal"/>
        <w:spacing w:before="0" w:after="1"/>
        <w:rPr/>
      </w:pPr>
      <w:r>
        <w:rPr/>
      </w:r>
    </w:p>
    <w:p>
      <w:pPr>
        <w:pStyle w:val="ConsPlusNormal"/>
        <w:jc w:val="both"/>
        <w:rPr/>
      </w:pPr>
      <w:r>
        <w:rPr/>
      </w:r>
    </w:p>
    <w:tbl>
      <w:tblPr>
        <w:tblW w:w="9070"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4535"/>
        <w:gridCol w:w="4534"/>
      </w:tblGrid>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Функции Субъекта централизованного учета</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Функции ЦБ</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Общие требования к ведению бюджетного учета</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Составление (получение) первичных учетных документов, их проверка, визирование и подписание в соответствии с требованиями нормативных правовых актов.</w:t>
            </w:r>
          </w:p>
          <w:p>
            <w:pPr>
              <w:pStyle w:val="ConsPlusNormal"/>
              <w:widowControl w:val="false"/>
              <w:jc w:val="both"/>
              <w:rPr/>
            </w:pPr>
            <w:r>
              <w:rPr/>
              <w:t>2. Указание бюджетной классификации Российской Федерации по фактам хозяйственной жизни, отраженным в первичных учетных документах.</w:t>
            </w:r>
          </w:p>
          <w:p>
            <w:pPr>
              <w:pStyle w:val="ConsPlusNormal"/>
              <w:widowControl w:val="false"/>
              <w:jc w:val="both"/>
              <w:rPr/>
            </w:pPr>
            <w:r>
              <w:rPr/>
              <w:t>3. Направление ЦБ первичных учетных документов (и иных документов, необходимых для ведения учета и составления отчетности) в ЕЦИС.</w:t>
            </w:r>
          </w:p>
          <w:p>
            <w:pPr>
              <w:pStyle w:val="ConsPlusNormal"/>
              <w:widowControl w:val="false"/>
              <w:jc w:val="both"/>
              <w:rPr/>
            </w:pPr>
            <w:r>
              <w:rPr/>
              <w:t>4. Формирование и представление в органы государственной статистики статистической отчетности, за исключением отчетности, связанной со сведениями о заработной плате и отчетности, указанной в приложении N 4 к настоящему регламенту.</w:t>
            </w:r>
          </w:p>
          <w:p>
            <w:pPr>
              <w:pStyle w:val="ConsPlusNormal"/>
              <w:widowControl w:val="false"/>
              <w:jc w:val="both"/>
              <w:rPr/>
            </w:pPr>
            <w:r>
              <w:rPr/>
              <w:t>5. Составление и ведение планов-графиков, формирование и представление отчетности об их исполнении.</w:t>
            </w:r>
          </w:p>
          <w:p>
            <w:pPr>
              <w:pStyle w:val="ConsPlusNormal"/>
              <w:widowControl w:val="false"/>
              <w:jc w:val="both"/>
              <w:rPr>
                <w:shd w:fill="DDE8CB" w:val="clear"/>
              </w:rPr>
            </w:pPr>
            <w:r>
              <w:rPr/>
              <w:t>6. Составление и ведение планов финансово-хозяйственной деятельности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Проверка правильности оформления первичных учетных документов, их соответствия требованиям законодательства Российской Федерации. Формирование первичных учетных документов и направление их Субъекту централизованного учета на визирование и подписание по инициативе ЦБ в случаях, предусмотренных Договором.</w:t>
            </w:r>
          </w:p>
          <w:p>
            <w:pPr>
              <w:pStyle w:val="ConsPlusNormal"/>
              <w:widowControl w:val="false"/>
              <w:jc w:val="both"/>
              <w:rPr/>
            </w:pPr>
            <w:r>
              <w:rPr/>
              <w:t>2. Своевременное, полное и достоверное отражение на счетах бухгалтерского учета и в учетных регистрах фактов хозяйственной жизни на основании полученных и надлежащим образом оформленных первичных учетных документов.</w:t>
            </w:r>
          </w:p>
          <w:p>
            <w:pPr>
              <w:pStyle w:val="ConsPlusNormal"/>
              <w:widowControl w:val="false"/>
              <w:jc w:val="both"/>
              <w:rPr/>
            </w:pPr>
            <w:r>
              <w:rPr/>
              <w:t>3. Ведение аналитического и синтетического учета.</w:t>
            </w:r>
          </w:p>
          <w:p>
            <w:pPr>
              <w:pStyle w:val="ConsPlusNormal"/>
              <w:widowControl w:val="false"/>
              <w:jc w:val="both"/>
              <w:rPr/>
            </w:pPr>
            <w:r>
              <w:rPr/>
              <w:t>4. Формирование регистров бухгалтерского учета и отчетности.</w:t>
            </w:r>
          </w:p>
          <w:p>
            <w:pPr>
              <w:pStyle w:val="ConsPlusNormal"/>
              <w:widowControl w:val="false"/>
              <w:jc w:val="both"/>
              <w:rPr/>
            </w:pPr>
            <w:r>
              <w:rPr/>
              <w:t>5. Взаимодействие с Министерством финансов Чувашской Республики, внебюджетными фондами, налоговой службой и контрольными органами по вопросам ведения бухгалтерского учета и составлению отчетности.</w:t>
            </w:r>
          </w:p>
          <w:p>
            <w:pPr>
              <w:pStyle w:val="ConsPlusNormal"/>
              <w:widowControl w:val="false"/>
              <w:jc w:val="both"/>
              <w:rPr/>
            </w:pPr>
            <w:r>
              <w:rPr/>
              <w:t>6. Подготовка и передача по запросу Субъекта централизованного учета информации, необходимой для составления статистической отчетности, содержащей данные, отраженные в бухгалтерском учете</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1. Учет расчетов с поставщиками и подрядчиками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Проведение закупочных процедур, заключение государственных контрактов (договоров).</w:t>
            </w:r>
          </w:p>
          <w:p>
            <w:pPr>
              <w:pStyle w:val="ConsPlusNormal"/>
              <w:widowControl w:val="false"/>
              <w:jc w:val="both"/>
              <w:rPr/>
            </w:pPr>
            <w:r>
              <w:rPr/>
              <w:t>2. Контроль исполнения государственных контрактов. Публикация информации об исполнении государственных контрактов в Единой информационной системе в сфере закупок.</w:t>
            </w:r>
          </w:p>
          <w:p>
            <w:pPr>
              <w:pStyle w:val="ConsPlusNormal"/>
              <w:widowControl w:val="false"/>
              <w:jc w:val="both"/>
              <w:rPr/>
            </w:pPr>
            <w:r>
              <w:rPr/>
              <w:t>3. Контроль состояния дебиторской и кредиторской задолженности.</w:t>
            </w:r>
          </w:p>
          <w:p>
            <w:pPr>
              <w:pStyle w:val="ConsPlusNormal"/>
              <w:widowControl w:val="false"/>
              <w:jc w:val="both"/>
              <w:rPr/>
            </w:pPr>
            <w:r>
              <w:rPr/>
              <w:t>4. Проведение инвентаризации расчетов. Направление контрагентам актов сверки расчетов.</w:t>
            </w:r>
          </w:p>
          <w:p>
            <w:pPr>
              <w:pStyle w:val="ConsPlusNormal"/>
              <w:widowControl w:val="false"/>
              <w:jc w:val="both"/>
              <w:rPr/>
            </w:pPr>
            <w:r>
              <w:rPr/>
              <w:t>5. Определение причин сложившейся дебиторской и кредиторской задолженности, принятие мер по урегулированию задолженности.</w:t>
            </w:r>
          </w:p>
          <w:p>
            <w:pPr>
              <w:pStyle w:val="ConsPlusNormal"/>
              <w:widowControl w:val="false"/>
              <w:jc w:val="both"/>
              <w:rPr/>
            </w:pPr>
            <w:r>
              <w:rPr/>
              <w:t>6. Проведение претензионной работы по возврату дебиторской задолженности.</w:t>
            </w:r>
          </w:p>
          <w:p>
            <w:pPr>
              <w:pStyle w:val="ConsPlusNormal"/>
              <w:widowControl w:val="false"/>
              <w:jc w:val="both"/>
              <w:rPr/>
            </w:pPr>
            <w:r>
              <w:rPr/>
              <w:t>7. Подготовка приказа с приложением пакета документов для обоснования списания задолженности с истекшим сроком исковой давности.</w:t>
            </w:r>
          </w:p>
          <w:p>
            <w:pPr>
              <w:pStyle w:val="ConsPlusNormal"/>
              <w:widowControl w:val="false"/>
              <w:jc w:val="both"/>
              <w:rPr/>
            </w:pPr>
            <w:r>
              <w:rPr/>
              <w:t>8. Проведение сверки расчетов с контрагентами, на основании предоставленных актов сверки взаимных расчетов в ЕЦИС</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актов сверки расчетов с контрагентами. В случае выявления разногласий по сверке расчетов - представление информации Субъекту централизованного учета.</w:t>
            </w:r>
          </w:p>
          <w:p>
            <w:pPr>
              <w:pStyle w:val="ConsPlusNormal"/>
              <w:widowControl w:val="false"/>
              <w:jc w:val="both"/>
              <w:rPr/>
            </w:pPr>
            <w:r>
              <w:rPr/>
              <w:t>2. Представление Субъекту централизованного учета информации о состоянии дебиторской и кредиторской задолженности.</w:t>
            </w:r>
          </w:p>
          <w:p>
            <w:pPr>
              <w:pStyle w:val="ConsPlusNormal"/>
              <w:widowControl w:val="false"/>
              <w:jc w:val="both"/>
              <w:rPr/>
            </w:pPr>
            <w:r>
              <w:rPr/>
              <w:t>3. Списание задолженности с истекшим сроком исковой давности на основании приказа Субъекта централизованного учета</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2. Учет нефинансовых активов</w:t>
            </w:r>
          </w:p>
        </w:tc>
      </w:tr>
      <w:tr>
        <w:trPr/>
        <w:tc>
          <w:tcPr>
            <w:tcW w:w="4535" w:type="dxa"/>
            <w:tcBorders>
              <w:top w:val="single" w:sz="4" w:space="0" w:color="000000"/>
              <w:left w:val="single" w:sz="4" w:space="0" w:color="000000"/>
              <w:right w:val="single" w:sz="4" w:space="0" w:color="000000"/>
            </w:tcBorders>
          </w:tcPr>
          <w:p>
            <w:pPr>
              <w:pStyle w:val="ConsPlusNormal"/>
              <w:widowControl w:val="false"/>
              <w:jc w:val="both"/>
              <w:rPr/>
            </w:pPr>
            <w:r>
              <w:rPr/>
              <w:t>1. Предоставление приказов Субъекта централизованного учета о составе комиссии по поступлению и выбытию нефинансовых активов, о внесении изменений в состав комиссии по поступлению и выбытию нефинансовых активов.</w:t>
            </w:r>
          </w:p>
          <w:p>
            <w:pPr>
              <w:pStyle w:val="ConsPlusNormal"/>
              <w:widowControl w:val="false"/>
              <w:jc w:val="both"/>
              <w:rPr/>
            </w:pPr>
            <w:r>
              <w:rPr/>
              <w:t>2. Подписание членами комиссии и утверждение руководителем Субъекта централизованного учета документов по движению нефинансовых активов.</w:t>
            </w:r>
          </w:p>
          <w:p>
            <w:pPr>
              <w:pStyle w:val="ConsPlusNormal"/>
              <w:widowControl w:val="false"/>
              <w:jc w:val="both"/>
              <w:rPr/>
            </w:pPr>
            <w:r>
              <w:rPr/>
              <w:t>3. Направление ЦБ в ЕЦИС документов по движению нефинансовых активов.</w:t>
            </w:r>
          </w:p>
          <w:p>
            <w:pPr>
              <w:pStyle w:val="ConsPlusNormal"/>
              <w:widowControl w:val="false"/>
              <w:jc w:val="both"/>
              <w:rPr/>
            </w:pPr>
            <w:r>
              <w:rPr/>
              <w:t>4. Формирование и утверждение состава инвентаризационной комиссии. Проведение инвентаризации нефинансовых активов.</w:t>
            </w:r>
          </w:p>
          <w:p>
            <w:pPr>
              <w:pStyle w:val="ConsPlusNormal"/>
              <w:widowControl w:val="false"/>
              <w:jc w:val="both"/>
              <w:rPr/>
            </w:pPr>
            <w:r>
              <w:rPr/>
              <w:t>5. Контроль поставки нефинансовых активов. Организация хранения и обеспечение сохранности нефинансовых активов.</w:t>
            </w:r>
          </w:p>
          <w:p>
            <w:pPr>
              <w:pStyle w:val="ConsPlusNormal"/>
              <w:widowControl w:val="false"/>
              <w:jc w:val="both"/>
              <w:rPr/>
            </w:pPr>
            <w:r>
              <w:rPr/>
              <w:t>6. Предоставление договора о полной материальной ответственности при смене материально ответственного лица.</w:t>
            </w:r>
          </w:p>
          <w:p>
            <w:pPr>
              <w:pStyle w:val="ConsPlusNormal"/>
              <w:widowControl w:val="false"/>
              <w:jc w:val="both"/>
              <w:rPr/>
            </w:pPr>
            <w:r>
              <w:rPr/>
              <w:t>7. Ведение журнала учета доверенностей.</w:t>
            </w:r>
          </w:p>
          <w:p>
            <w:pPr>
              <w:pStyle w:val="ConsPlusNormal"/>
              <w:widowControl w:val="false"/>
              <w:jc w:val="both"/>
              <w:rPr/>
            </w:pPr>
            <w:r>
              <w:rPr/>
              <w:t>8. Оформление доверенности на получение товарно-материальных ценностей</w:t>
            </w:r>
          </w:p>
        </w:tc>
        <w:tc>
          <w:tcPr>
            <w:tcW w:w="4534" w:type="dxa"/>
            <w:tcBorders>
              <w:top w:val="single" w:sz="4" w:space="0" w:color="000000"/>
              <w:left w:val="single" w:sz="4" w:space="0" w:color="000000"/>
              <w:right w:val="single" w:sz="4" w:space="0" w:color="000000"/>
            </w:tcBorders>
          </w:tcPr>
          <w:p>
            <w:pPr>
              <w:pStyle w:val="ConsPlusNormal"/>
              <w:widowControl w:val="false"/>
              <w:jc w:val="both"/>
              <w:rPr/>
            </w:pPr>
            <w:r>
              <w:rPr/>
              <w:t>1. Подготовка в ЕЦИС документов по движению нефинансовых активов Субъекта централизованного учета, направление их Субъекту централизованного учета.</w:t>
            </w:r>
          </w:p>
          <w:p>
            <w:pPr>
              <w:pStyle w:val="ConsPlusNormal"/>
              <w:widowControl w:val="false"/>
              <w:jc w:val="both"/>
              <w:rPr/>
            </w:pPr>
            <w:r>
              <w:rPr/>
              <w:t>2. Ведение аналитического учета нефинансовых активов в разрезе материально ответственных лиц.</w:t>
            </w:r>
          </w:p>
          <w:p>
            <w:pPr>
              <w:pStyle w:val="ConsPlusNormal"/>
              <w:widowControl w:val="false"/>
              <w:jc w:val="both"/>
              <w:rPr/>
            </w:pPr>
            <w:r>
              <w:rPr/>
              <w:t>3. При необходимости и по согласованию принимает участие в инвентаризации нефинансовых активов. Подготовка документов для проведения инвентаризации и отражение ее результатов в бухгалтерском учете</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3. Учет операций с безналичными денежными средствами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Направление в ЦБ через ЕЦИС распорядительных документов (сведений о денежных обязательствах) и (или) первичных учетных документов (с резолюцией руководителя об оплате) для формирования заявки на кассовый расход или платежного поручения с указанием кодов бюджетной классификации, необходимых для осуществления целевого назначения платежа, в указанных документах.</w:t>
            </w:r>
          </w:p>
          <w:p>
            <w:pPr>
              <w:pStyle w:val="ConsPlusNormal"/>
              <w:widowControl w:val="false"/>
              <w:jc w:val="both"/>
              <w:rPr/>
            </w:pPr>
            <w:r>
              <w:rPr/>
              <w:t>2. Подготовка и направление в Министерство финансов Чувашской Республики (Управление Федерального казначейства по Чувашской Республике) Уведомлений по уточнению платежа (в части уточнения операций по расходам)</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и направление на оплату заявки на кассовый расход или платежного поручения.</w:t>
            </w:r>
          </w:p>
          <w:p>
            <w:pPr>
              <w:pStyle w:val="ConsPlusNormal"/>
              <w:widowControl w:val="false"/>
              <w:jc w:val="both"/>
              <w:rPr/>
            </w:pPr>
            <w:r>
              <w:rPr/>
              <w:t>2. Отражение операций по безналичному движению денежных средств на лицевых,  расчетных и депозитных счетах Субъекта централизованного учета</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4. Учет операций с денежными средствами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приходных и расходных кассовых ордеров.</w:t>
            </w:r>
          </w:p>
          <w:p>
            <w:pPr>
              <w:pStyle w:val="ConsPlusNormal"/>
              <w:widowControl w:val="false"/>
              <w:jc w:val="both"/>
              <w:rPr/>
            </w:pPr>
            <w:r>
              <w:rPr/>
              <w:t>2. Подписание уполномоченным лицом приходных и расходных кассовых ордеров.</w:t>
            </w:r>
          </w:p>
          <w:p>
            <w:pPr>
              <w:pStyle w:val="ConsPlusNormal"/>
              <w:widowControl w:val="false"/>
              <w:jc w:val="both"/>
              <w:rPr/>
            </w:pPr>
            <w:r>
              <w:rPr/>
              <w:t>3. Получение и внесение денежных средств, в части возврата излишне полученных в подотчет или выплаченных денежных средств.</w:t>
            </w:r>
          </w:p>
          <w:p>
            <w:pPr>
              <w:pStyle w:val="ConsPlusNormal"/>
              <w:widowControl w:val="false"/>
              <w:jc w:val="both"/>
              <w:rPr/>
            </w:pPr>
            <w:r>
              <w:rPr/>
              <w:t>4. Формирование в ЕЦИС листов кассовой книги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и подписание бухгалтерской справки (ф. 0504833) руководителем/ заместителем руководителя/ главным бухгалтером/иным уполномоченным лицом и уполномоченным сотрудником.</w:t>
            </w:r>
          </w:p>
          <w:p>
            <w:pPr>
              <w:pStyle w:val="ConsPlusNormal"/>
              <w:widowControl w:val="false"/>
              <w:jc w:val="both"/>
              <w:rPr/>
            </w:pPr>
            <w:r>
              <w:rPr/>
              <w:t>2. Отражение на счетах бухгалтерского учета в ЕЦИС операций по учету движения денежных средств в кассе Субъекта централизованного учета</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5. Учет операций с денежными документами, бланками строгой отчетности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приходных и расходных кассовых ордеров с записью "фондовый".</w:t>
            </w:r>
          </w:p>
          <w:p>
            <w:pPr>
              <w:pStyle w:val="ConsPlusNormal"/>
              <w:widowControl w:val="false"/>
              <w:jc w:val="both"/>
              <w:rPr/>
            </w:pPr>
            <w:r>
              <w:rPr/>
              <w:t>2. Формирование в ЕЦИС листов кассовой книги с записью "фондовый".</w:t>
            </w:r>
          </w:p>
          <w:p>
            <w:pPr>
              <w:pStyle w:val="ConsPlusNormal"/>
              <w:widowControl w:val="false"/>
              <w:jc w:val="both"/>
              <w:rPr/>
            </w:pPr>
            <w:r>
              <w:rPr/>
              <w:t>3. Составление и представление ЦБ авансового отчета (отчета о расходах подотчетного лица) на расходование денежных документов, акта списания бланков строгой отчетности.</w:t>
            </w:r>
          </w:p>
          <w:p>
            <w:pPr>
              <w:pStyle w:val="ConsPlusNormal"/>
              <w:widowControl w:val="false"/>
              <w:jc w:val="both"/>
              <w:rPr/>
            </w:pPr>
            <w:r>
              <w:rPr/>
              <w:t>4. Осуществление контроля за поступлением и выбытием денежных документов, бланков строгой отчетности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и подписание бухгалтерской справки (ф. 0504833) руководителем/ заместителем руководителя/ главным бухгалтером/иным уполномоченным лицом и уполномоченным сотрудником.</w:t>
            </w:r>
          </w:p>
          <w:p>
            <w:pPr>
              <w:pStyle w:val="ConsPlusNormal"/>
              <w:widowControl w:val="false"/>
              <w:jc w:val="both"/>
              <w:rPr/>
            </w:pPr>
            <w:r>
              <w:rPr/>
              <w:t>2. Отражение на счетах бухгалтерского учета в ЕЦИС операций по учету движения денежных документов, бланков строгой отчетности</w:t>
            </w:r>
          </w:p>
        </w:tc>
      </w:tr>
      <w:tr>
        <w:trPr/>
        <w:tc>
          <w:tcPr>
            <w:tcW w:w="9069" w:type="dxa"/>
            <w:gridSpan w:val="2"/>
            <w:tcBorders>
              <w:top w:val="single" w:sz="4" w:space="0" w:color="000000"/>
              <w:left w:val="single" w:sz="4" w:space="0" w:color="000000"/>
              <w:right w:val="single" w:sz="4" w:space="0" w:color="000000"/>
            </w:tcBorders>
          </w:tcPr>
          <w:p>
            <w:pPr>
              <w:pStyle w:val="ConsPlusNormal"/>
              <w:widowControl w:val="false"/>
              <w:numPr>
                <w:ilvl w:val="0"/>
                <w:numId w:val="0"/>
              </w:numPr>
              <w:ind w:left="0" w:hanging="0"/>
              <w:jc w:val="center"/>
              <w:outlineLvl w:val="2"/>
              <w:rPr/>
            </w:pPr>
            <w:r>
              <w:rPr/>
              <w:t>6. Учет расчетов с подотчетными лицами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Решения о командировании с приложением необходимых для командирования сотрудника документов.</w:t>
            </w:r>
          </w:p>
          <w:p>
            <w:pPr>
              <w:pStyle w:val="ConsPlusNormal"/>
              <w:widowControl w:val="false"/>
              <w:jc w:val="both"/>
              <w:rPr/>
            </w:pPr>
            <w:r>
              <w:rPr/>
              <w:t>2. Формирование в ЕЦИС Заявки - обоснования закупки товаров, работ, услуг малого объема при закупках малого объема для нужд Субъекта централизованного учета.</w:t>
            </w:r>
          </w:p>
          <w:p>
            <w:pPr>
              <w:pStyle w:val="ConsPlusNormal"/>
              <w:widowControl w:val="false"/>
              <w:jc w:val="both"/>
              <w:rPr/>
            </w:pPr>
            <w:r>
              <w:rPr/>
              <w:t>3. Формирование отчетов о расходах подотчетного лица (авансовых отчетов в части оформления расходов по оплате почтовых услуг) в течение трех рабочих дней в ЕЦИС, подписание их подотчетным лицом, руководителем структурного подразделения (при наличии) и утверждение руководителем Субъекта централизованного учета с приложением первичных учетных документов об использованных средствах, полученных под отчет или для получения перерасхода.</w:t>
            </w:r>
          </w:p>
          <w:p>
            <w:pPr>
              <w:pStyle w:val="ConsPlusNormal"/>
              <w:widowControl w:val="false"/>
              <w:jc w:val="both"/>
              <w:rPr/>
            </w:pPr>
            <w:r>
              <w:rPr/>
              <w:t>4. Осуществление контроля за своевременностью представления отчетов о расходах подотчетного лица (авансовых отчетов в части оформления расходов по оплате почтовых услуг) в ЦБ.</w:t>
            </w:r>
          </w:p>
          <w:p>
            <w:pPr>
              <w:pStyle w:val="ConsPlusNormal"/>
              <w:widowControl w:val="false"/>
              <w:jc w:val="both"/>
              <w:rPr/>
            </w:pPr>
            <w:r>
              <w:rPr/>
              <w:t>5. Обеспечение взаимодействия с подотчетным лицом по внесению излишне полученных в подотчет денежных средств</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Проведение операций по учету расчетов с подотчетными лицами.</w:t>
            </w:r>
          </w:p>
          <w:p>
            <w:pPr>
              <w:pStyle w:val="ConsPlusNormal"/>
              <w:widowControl w:val="false"/>
              <w:jc w:val="both"/>
              <w:rPr/>
            </w:pPr>
            <w:r>
              <w:rPr/>
              <w:t>2. Информирование Субъекта централизованного учета о несвоевременности предоставления отчетов подотчетного лица (авансовых отчетов в части оформления расходов по оплате почтовых услуг).</w:t>
            </w:r>
          </w:p>
        </w:tc>
      </w:tr>
      <w:tr>
        <w:trPr/>
        <w:tc>
          <w:tcPr>
            <w:tcW w:w="9069" w:type="dxa"/>
            <w:gridSpan w:val="2"/>
            <w:tcBorders>
              <w:top w:val="single" w:sz="4" w:space="0" w:color="000000"/>
              <w:left w:val="single" w:sz="4" w:space="0" w:color="000000"/>
              <w:right w:val="single" w:sz="4" w:space="0" w:color="000000"/>
            </w:tcBorders>
          </w:tcPr>
          <w:p>
            <w:pPr>
              <w:pStyle w:val="ConsPlusNormal"/>
              <w:widowControl w:val="false"/>
              <w:numPr>
                <w:ilvl w:val="0"/>
                <w:numId w:val="0"/>
              </w:numPr>
              <w:ind w:left="0" w:hanging="0"/>
              <w:jc w:val="center"/>
              <w:outlineLvl w:val="2"/>
              <w:rPr/>
            </w:pPr>
            <w:r>
              <w:rPr/>
              <w:t>7. Учет расчетов по оплате труда</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Ведение в ЕЦИС штатного расписания Субъекта централизованного учета, кадровых сведений его сотрудников.</w:t>
            </w:r>
          </w:p>
          <w:p>
            <w:pPr>
              <w:pStyle w:val="ConsPlusNormal"/>
              <w:widowControl w:val="false"/>
              <w:jc w:val="both"/>
              <w:rPr/>
            </w:pPr>
            <w:r>
              <w:rPr/>
              <w:t>2. Создание в ЕЦИС и направление в ЦБ распорядительных документов по личному составу.</w:t>
            </w:r>
          </w:p>
          <w:p>
            <w:pPr>
              <w:pStyle w:val="ConsPlusNormal"/>
              <w:widowControl w:val="false"/>
              <w:jc w:val="both"/>
              <w:rPr/>
            </w:pPr>
            <w:r>
              <w:rPr/>
              <w:t>3. Формирование в ЕЦИС (по разовым удержаниям - предоставление заявлений) информации по работникам на предоставление вычетов с приложением подтверждающих документов, заявлений на удержание из заработной платы и т.п.</w:t>
            </w:r>
          </w:p>
          <w:p>
            <w:pPr>
              <w:pStyle w:val="ConsPlusNormal"/>
              <w:widowControl w:val="false"/>
              <w:jc w:val="both"/>
              <w:rPr/>
            </w:pPr>
            <w:r>
              <w:rPr/>
              <w:t>4. Направление в ЦБ исполнительных листов.</w:t>
            </w:r>
          </w:p>
          <w:p>
            <w:pPr>
              <w:pStyle w:val="ConsPlusNormal"/>
              <w:widowControl w:val="false"/>
              <w:jc w:val="both"/>
              <w:rPr/>
            </w:pPr>
            <w:r>
              <w:rPr/>
              <w:t>5. Введение в ЕЦИС заявления о выплате ежемесячного пособия по уходу за ребенком, единовременного пособия при рождении ребенка с приложением скан-образов документов.</w:t>
            </w:r>
          </w:p>
          <w:p>
            <w:pPr>
              <w:pStyle w:val="ConsPlusNormal"/>
              <w:widowControl w:val="false"/>
              <w:jc w:val="both"/>
              <w:rPr/>
            </w:pPr>
            <w:r>
              <w:rPr/>
              <w:t>6. Предоставление заявления в социальный фонд РФ о подтверждении основного вида экономической деятельности.</w:t>
            </w:r>
          </w:p>
          <w:p>
            <w:pPr>
              <w:pStyle w:val="ConsPlusNormal"/>
              <w:widowControl w:val="false"/>
              <w:jc w:val="both"/>
              <w:rPr/>
            </w:pPr>
            <w:r>
              <w:rPr/>
              <w:t>7. Направление ЦБ копии уведомления о подтверждении основного вида экономической деятельности.</w:t>
            </w:r>
          </w:p>
          <w:p>
            <w:pPr>
              <w:pStyle w:val="ConsPlusNormal"/>
              <w:widowControl w:val="false"/>
              <w:jc w:val="both"/>
              <w:rPr/>
            </w:pPr>
            <w:r>
              <w:rPr/>
              <w:t>8. Формирование и проверка данных табеля учета рабочего времени.</w:t>
            </w:r>
          </w:p>
          <w:p>
            <w:pPr>
              <w:pStyle w:val="ConsPlusNormal"/>
              <w:widowControl w:val="false"/>
              <w:jc w:val="both"/>
              <w:rPr/>
            </w:pPr>
            <w:r>
              <w:rPr/>
              <w:t>9. Оформление заявления на открытие банковских карт для зачисления заработной платы и передача их в ЦБ. Ввод в ЕЦИС информации о прикреплении банковских карт (зачисление выплат) для перечисления соответствующих выплат.</w:t>
            </w:r>
          </w:p>
          <w:p>
            <w:pPr>
              <w:pStyle w:val="ConsPlusNormal"/>
              <w:widowControl w:val="false"/>
              <w:jc w:val="both"/>
              <w:rPr/>
            </w:pPr>
            <w:r>
              <w:rPr/>
              <w:t>10. Оформление Согласия субъекта персональных данных – работников Субъекта централизованного учета и других лиц на поручение обработки персональных данных в ЦБ.</w:t>
            </w:r>
          </w:p>
          <w:p>
            <w:pPr>
              <w:pStyle w:val="ConsPlusNormal"/>
              <w:widowControl w:val="false"/>
              <w:jc w:val="both"/>
              <w:rPr/>
            </w:pPr>
            <w:r>
              <w:rPr/>
              <w:t>11. Передача скан-образов приказов о премировании, о выплате материальной помощи, единовременной выплаты к отпуску и другие приказы о поощрении сотрудников средствами ЕЦИС</w:t>
            </w:r>
          </w:p>
          <w:p>
            <w:pPr>
              <w:pStyle w:val="ConsPlusNormal"/>
              <w:widowControl w:val="false"/>
              <w:jc w:val="both"/>
              <w:rPr/>
            </w:pPr>
            <w:r>
              <w:rPr/>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 основании полученных от Субъекта централизованного учета документов начисление заработной платы, пособий и других выплат работникам Субъекта централизованного учета.</w:t>
            </w:r>
          </w:p>
          <w:p>
            <w:pPr>
              <w:pStyle w:val="ConsPlusNormal"/>
              <w:widowControl w:val="false"/>
              <w:jc w:val="both"/>
              <w:rPr/>
            </w:pPr>
            <w:r>
              <w:rPr/>
              <w:t>2. Исчисление, удержание и перечисление налога на доходы физических лиц. Начисление и перечисление страховых взносов.</w:t>
            </w:r>
          </w:p>
          <w:p>
            <w:pPr>
              <w:pStyle w:val="ConsPlusNormal"/>
              <w:widowControl w:val="false"/>
              <w:jc w:val="both"/>
              <w:rPr/>
            </w:pPr>
            <w:r>
              <w:rPr/>
              <w:t>3. Удержание из заработной платы и перечисление сумм по исполнительным листам, на основании сформированных данных в ЕЦИС (по разовым удержаниям на основании представленных Субъектом централизованного учета заявлениям работников).</w:t>
            </w:r>
          </w:p>
          <w:p>
            <w:pPr>
              <w:pStyle w:val="ConsPlusNormal"/>
              <w:widowControl w:val="false"/>
              <w:jc w:val="both"/>
              <w:rPr/>
            </w:pPr>
            <w:r>
              <w:rPr/>
              <w:t>4. Формирование заявок на кассовый расход, платежных поручений, реестров на зачисление заработной платы на карты, счета работников в банк. Передача электронных реестров на зачисление денежных средств на счета работников в соответствующие банки.</w:t>
            </w:r>
          </w:p>
          <w:p>
            <w:pPr>
              <w:pStyle w:val="ConsPlusNormal"/>
              <w:widowControl w:val="false"/>
              <w:jc w:val="both"/>
              <w:rPr/>
            </w:pPr>
            <w:r>
              <w:rPr/>
              <w:t>5. Предоставление по запросу Субъекта централизованного учета информации по начислению заработной платы и удержаниям из нее.</w:t>
            </w:r>
          </w:p>
          <w:p>
            <w:pPr>
              <w:pStyle w:val="ConsPlusNormal"/>
              <w:widowControl w:val="false"/>
              <w:jc w:val="both"/>
              <w:rPr/>
            </w:pPr>
            <w:r>
              <w:rPr/>
              <w:t>6. Обработка заявлений на предоставление стандартных налоговых вычетов, заявлений на перечисление денежных средств на карту, счет работника Субъекта централизованного учета.</w:t>
            </w:r>
          </w:p>
          <w:p>
            <w:pPr>
              <w:pStyle w:val="ConsPlusNormal"/>
              <w:widowControl w:val="false"/>
              <w:jc w:val="both"/>
              <w:rPr/>
            </w:pPr>
            <w:r>
              <w:rPr/>
              <w:t>7. Формирование регистров налогового учета сумм начисленных выплат и иных вознаграждений и сумм начисленных страховых взносов.</w:t>
            </w:r>
          </w:p>
          <w:p>
            <w:pPr>
              <w:pStyle w:val="ConsPlusNormal"/>
              <w:widowControl w:val="false"/>
              <w:jc w:val="both"/>
              <w:rPr/>
            </w:pPr>
            <w:r>
              <w:rPr/>
              <w:t>8. Подготовка справок о заработной плате работников Субъекта централизованного учета за периоды, начиная с календарного года, в котором в ЦБ передано  бухгалтерское обслуживание.</w:t>
            </w:r>
          </w:p>
          <w:p>
            <w:pPr>
              <w:pStyle w:val="ConsPlusNormal"/>
              <w:widowControl w:val="false"/>
              <w:jc w:val="both"/>
              <w:rPr/>
            </w:pPr>
            <w:r>
              <w:rPr/>
              <w:t>9. Представление в уполномоченные органы информации об исполнении обязательств по исполнительному листу.</w:t>
            </w:r>
          </w:p>
          <w:p>
            <w:pPr>
              <w:pStyle w:val="ConsPlusNormal"/>
              <w:widowControl w:val="false"/>
              <w:jc w:val="both"/>
              <w:rPr/>
            </w:pPr>
            <w:r>
              <w:rPr/>
              <w:t>10. Формирование расчетных листков работников Субъекта централизованного учета для передачи на бумажных носителях, в электронном виде или предоставление доступа уполномоченному лицу Субъекта централизованного учета к личному кабинету в ЕЦИС для рассылки в электронном виде при наличии функциональной возможности</w:t>
            </w:r>
          </w:p>
        </w:tc>
      </w:tr>
      <w:tr>
        <w:trPr/>
        <w:tc>
          <w:tcPr>
            <w:tcW w:w="9069" w:type="dxa"/>
            <w:gridSpan w:val="2"/>
            <w:tcBorders>
              <w:top w:val="single" w:sz="4" w:space="0" w:color="000000"/>
              <w:left w:val="single" w:sz="4" w:space="0" w:color="000000"/>
              <w:right w:val="single" w:sz="4" w:space="0" w:color="000000"/>
            </w:tcBorders>
          </w:tcPr>
          <w:p>
            <w:pPr>
              <w:pStyle w:val="ConsPlusNormal"/>
              <w:widowControl w:val="false"/>
              <w:numPr>
                <w:ilvl w:val="0"/>
                <w:numId w:val="0"/>
              </w:numPr>
              <w:ind w:left="0" w:hanging="0"/>
              <w:jc w:val="center"/>
              <w:outlineLvl w:val="2"/>
              <w:rPr/>
            </w:pPr>
            <w:r>
              <w:rPr/>
              <w:t>8. Учет расчетов по доходам</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highlight w:val="magenta"/>
              </w:rPr>
            </w:pPr>
            <w:r>
              <w:rPr/>
              <w:t>1. Формирование первичных учетных документов по начислению доходов. Предоставление в ЕЦИС Сведений по начислению администрируемых доходов в соответствии с Приложением N 2 к Учетной политике ЦБ. Взаимодействие с ГИС ГМП.</w:t>
            </w:r>
          </w:p>
          <w:p>
            <w:pPr>
              <w:pStyle w:val="ConsPlusNormal"/>
              <w:widowControl w:val="false"/>
              <w:jc w:val="both"/>
              <w:rPr/>
            </w:pPr>
            <w:r>
              <w:rPr/>
              <w:t>2. Предоставление в ЕЦИС Соглашений о предоставлении субсидий и изменений к ним,  отчетов о выполнении условий соглашения по полученным субсидиям и иных первичных учетных документов по полученным субсидиям.</w:t>
            </w:r>
          </w:p>
          <w:p>
            <w:pPr>
              <w:pStyle w:val="ConsPlusNormal"/>
              <w:widowControl w:val="false"/>
              <w:jc w:val="both"/>
              <w:rPr>
                <w:strike/>
              </w:rPr>
            </w:pPr>
            <w:r>
              <w:rPr/>
              <w:t>3.Исполнение полномочий по планированию и расчету доходов (уведомления об уточнении вида и принадлежности платежей (доходов) и иные документы)</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Отражение на счетах бухгалтерского учета операций и учет расчетов по начислению доходов на основании сведений по начислению администрируемых доходов в соответствии с Приложением N 2 к Учетной политике ЦБ, соглашений о предоставлении субсидий.</w:t>
            </w:r>
          </w:p>
          <w:p>
            <w:pPr>
              <w:pStyle w:val="ConsPlusNormal"/>
              <w:widowControl w:val="false"/>
              <w:jc w:val="both"/>
              <w:rPr/>
            </w:pPr>
            <w:r>
              <w:rPr/>
              <w:t>2. Отражение операций по суммам поступлений на основании выписки Министерства финансов Чувашской Республики и коммерческих банков.</w:t>
            </w:r>
          </w:p>
          <w:p>
            <w:pPr>
              <w:pStyle w:val="ConsPlusNormal"/>
              <w:widowControl w:val="false"/>
              <w:jc w:val="both"/>
              <w:rPr>
                <w:shd w:fill="DDE8CB" w:val="clear"/>
              </w:rPr>
            </w:pPr>
            <w:r>
              <w:rPr/>
              <w:t>3. Формирование платежного поручения, заявки на возврат доходов на основании письма Субъекта централизованного учета</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9. Учет расчетов с бюджетом и внебюджетными фондами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Предоставление руководителю ЦБ (лицу, исполняющему его обязанности), уполномоченному лицу доверенности на представление интересов Субъекта централизованного учета в налоговых органах и государственных внебюджетных фондах.</w:t>
            </w:r>
          </w:p>
          <w:p>
            <w:pPr>
              <w:pStyle w:val="ConsPlusNormal"/>
              <w:widowControl w:val="false"/>
              <w:jc w:val="both"/>
              <w:rPr/>
            </w:pPr>
            <w:r>
              <w:rPr/>
              <w:t>2. Направление ЦБ в ЕЦИС (скан-образа с подписью руководителя):</w:t>
            </w:r>
          </w:p>
          <w:p>
            <w:pPr>
              <w:pStyle w:val="ConsPlusNormal"/>
              <w:widowControl w:val="false"/>
              <w:jc w:val="both"/>
              <w:rPr/>
            </w:pPr>
            <w:r>
              <w:rPr/>
              <w:t>- книги продаж, книги покупок</w:t>
            </w:r>
          </w:p>
          <w:p>
            <w:pPr>
              <w:pStyle w:val="ConsPlusNormal"/>
              <w:widowControl w:val="false"/>
              <w:jc w:val="both"/>
              <w:rPr/>
            </w:pPr>
            <w:r>
              <w:rPr/>
              <w:t>3. Направление ЦБ сопроводительным письмом:</w:t>
            </w:r>
          </w:p>
          <w:p>
            <w:pPr>
              <w:pStyle w:val="ConsPlusNormal"/>
              <w:widowControl w:val="false"/>
              <w:jc w:val="both"/>
              <w:rPr/>
            </w:pPr>
            <w:r>
              <w:rPr/>
              <w:t>1) документов, подтверждающих применение льгот для расчета налогооблагаемой базы;</w:t>
            </w:r>
          </w:p>
          <w:p>
            <w:pPr>
              <w:pStyle w:val="ConsPlusNormal"/>
              <w:widowControl w:val="false"/>
              <w:jc w:val="both"/>
              <w:rPr/>
            </w:pPr>
            <w:r>
              <w:rPr/>
              <w:t>2) перечень доходов от реализации и внереализационных доходов и расходов:</w:t>
            </w:r>
          </w:p>
          <w:p>
            <w:pPr>
              <w:pStyle w:val="ConsPlusNormal"/>
              <w:widowControl w:val="false"/>
              <w:ind w:firstLine="540"/>
              <w:jc w:val="both"/>
              <w:rPr/>
            </w:pPr>
            <w:r>
              <w:rPr/>
              <w:t>- непосредственно связанных с осуществлением приносящей доход деятельности и направленных на получение собственных доходов;</w:t>
            </w:r>
          </w:p>
          <w:p>
            <w:pPr>
              <w:pStyle w:val="ConsPlusNormal"/>
              <w:widowControl w:val="false"/>
              <w:ind w:firstLine="540"/>
              <w:jc w:val="both"/>
              <w:rPr/>
            </w:pPr>
            <w:r>
              <w:rPr/>
              <w:t>- которые не могут быть непосредственно отнесены на затраты по конкретному виду деятельности и подлежат распределению;</w:t>
            </w:r>
          </w:p>
          <w:p>
            <w:pPr>
              <w:pStyle w:val="ConsPlusNormal"/>
              <w:widowControl w:val="false"/>
              <w:ind w:firstLine="567"/>
              <w:jc w:val="both"/>
              <w:rPr/>
            </w:pPr>
            <w:r>
              <w:rPr/>
              <w:t>- связанных исключительно с деятельностью по выполнению государственного задания, финансовое обеспечение которой осуществляется за счет целевых средств и не учитываются при налогообложении;</w:t>
            </w:r>
          </w:p>
          <w:p>
            <w:pPr>
              <w:pStyle w:val="ConsPlusNormal"/>
              <w:widowControl w:val="false"/>
              <w:jc w:val="both"/>
              <w:rPr/>
            </w:pPr>
            <w:r>
              <w:rPr/>
              <w:t>3) решений налоговых органов и внебюджетных фондов о применении к Субъекту централизованного учета финансовых санкций за нарушение действующего налогового законодательства;</w:t>
            </w:r>
          </w:p>
          <w:p>
            <w:pPr>
              <w:pStyle w:val="ConsPlusNormal"/>
              <w:widowControl w:val="false"/>
              <w:jc w:val="both"/>
              <w:rPr/>
            </w:pPr>
            <w:r>
              <w:rPr/>
              <w:t>4) писем и запросов от налоговых органов и внебюджетных фондов, касающихся бухгалтерского учета и составления отчетности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Начисление налогов в бюджеты и взносов во внебюджетные фонды, а также их перечисление.</w:t>
            </w:r>
          </w:p>
          <w:p>
            <w:pPr>
              <w:pStyle w:val="ConsPlusNormal"/>
              <w:widowControl w:val="false"/>
              <w:jc w:val="both"/>
              <w:rPr/>
            </w:pPr>
            <w:r>
              <w:rPr/>
              <w:t>2. Отражение в учете финансовых санкций за нарушение действующего законодательства Российской Федерации.</w:t>
            </w:r>
          </w:p>
          <w:p>
            <w:pPr>
              <w:pStyle w:val="ConsPlusNormal"/>
              <w:widowControl w:val="false"/>
              <w:jc w:val="both"/>
              <w:rPr/>
            </w:pPr>
            <w:r>
              <w:rPr/>
              <w:t>3. Предоставление в электронном виде в налоговые органы и государственные внебюджетные фонды в сроки, установленные законодательством Российской Федерации, отчетности, документов, подтверждающих правильность исчисления, полноту и своевременность уплаты налогов и сборов и платежей в бюджет.</w:t>
            </w:r>
          </w:p>
          <w:p>
            <w:pPr>
              <w:pStyle w:val="ConsPlusNormal"/>
              <w:widowControl w:val="false"/>
              <w:jc w:val="both"/>
              <w:rPr/>
            </w:pPr>
            <w:r>
              <w:rPr/>
              <w:t>4. Подготовка ответов на письма и запросы от налоговых органов и государственных внебюджетных фондов, касающиеся  бухгалтерского учета, составления и представления отчетности</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10. Предоставление субсидий и грантов физическим и юридическим лицам</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Составление и представление отчетов в ЦБ о выполнении условий предоставления субсидий и грантов юридическим и физическим лицам</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платежных поручений, заявок на кассовый расход юридическим и физическим лицам на основании утвержденных субъектом централизованного учета распоряжений или иных распорядительных документов.</w:t>
            </w:r>
          </w:p>
          <w:p>
            <w:pPr>
              <w:pStyle w:val="ConsPlusNormal"/>
              <w:widowControl w:val="false"/>
              <w:jc w:val="both"/>
              <w:rPr/>
            </w:pPr>
            <w:r>
              <w:rPr/>
              <w:t>2. Учет кассовых поступлений и выплат юридическим и физическим лицам.</w:t>
            </w:r>
          </w:p>
          <w:p>
            <w:pPr>
              <w:pStyle w:val="ConsPlusNormal"/>
              <w:widowControl w:val="false"/>
              <w:jc w:val="both"/>
              <w:rPr/>
            </w:pPr>
            <w:r>
              <w:rPr/>
              <w:t>3. Ведение учета расчетов с юридическими и физическими лицами на основании оформленных первичных учетных документов</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11. Учет средств, поступивших во временное распоряжение</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Направление ЦБ распоряжения руководителя Субъекта централизованного учета о возврате с лицевого или расчетного счета сумм обеспечения исполнения государственных контрактов, согласно условиям заключенных государственных контрактов, договоров</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Исполнение распоряжения о возврате с лицевого или расчетного счета сумм обеспечения исполнения государственных контрактов, договоров.</w:t>
            </w:r>
          </w:p>
          <w:p>
            <w:pPr>
              <w:pStyle w:val="ConsPlusNormal"/>
              <w:widowControl w:val="false"/>
              <w:jc w:val="both"/>
              <w:rPr/>
            </w:pPr>
            <w:r>
              <w:rPr/>
              <w:t>2. Предоставление информации Субъекту централизованного учета о невостребованных остатках средств</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12. Учет банковских и независимых гарантий</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Направление ЦБ банковской и независимой</w:t>
            </w:r>
            <w:r>
              <w:rPr>
                <w:shd w:fill="DDE8CB" w:val="clear"/>
              </w:rPr>
              <w:t xml:space="preserve"> </w:t>
            </w:r>
            <w:r>
              <w:rPr/>
              <w:t>гарантии в качестве обеспечения исполнения государственного контракта, договора заключенного Субъектом централизованного учета.</w:t>
            </w:r>
          </w:p>
          <w:p>
            <w:pPr>
              <w:pStyle w:val="ConsPlusNormal"/>
              <w:widowControl w:val="false"/>
              <w:jc w:val="both"/>
              <w:rPr/>
            </w:pPr>
            <w:r>
              <w:rPr/>
              <w:t>2. Направление ЦБ информации об окончании срока действия банковской и независимой</w:t>
            </w:r>
            <w:r>
              <w:rPr>
                <w:shd w:fill="DDE8CB" w:val="clear"/>
              </w:rPr>
              <w:t xml:space="preserve"> </w:t>
            </w:r>
            <w:r>
              <w:rPr/>
              <w:t>гарантии или об исполнении условий контракта в обеспечении которого она выдана</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Формирование в ЕЦИС документов о постановке и списании банковской и независимой гарантии (бухгалтерской справки)</w:t>
            </w:r>
          </w:p>
        </w:tc>
      </w:tr>
      <w:tr>
        <w:trPr/>
        <w:tc>
          <w:tcPr>
            <w:tcW w:w="9069"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numPr>
                <w:ilvl w:val="0"/>
                <w:numId w:val="0"/>
              </w:numPr>
              <w:ind w:left="0" w:hanging="0"/>
              <w:jc w:val="center"/>
              <w:outlineLvl w:val="2"/>
              <w:rPr/>
            </w:pPr>
            <w:r>
              <w:rPr/>
              <w:t>13. Учет санкционирования расходов</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Направление ЦБ в ЕЦИС в соответствии с Графиком документооборота документов для учета утвержденного объема финансового обеспечения и сметных (плановых) назначений — плановые назначения.</w:t>
            </w:r>
          </w:p>
          <w:p>
            <w:pPr>
              <w:pStyle w:val="ConsPlusNormal"/>
              <w:widowControl w:val="false"/>
              <w:jc w:val="both"/>
              <w:rPr/>
            </w:pPr>
            <w:r>
              <w:rPr/>
              <w:t>2. Направление ЦБ в ЕЦИС в соответствии с Графиком документооборота документов для учета принятых (принимаемых) обязательств и денежных обязательств - регистрация обязательств и сведений по договорам, сведений о денежных обязательствах и иных документов, необходимых для ведения учета по санкционированию расходов.</w:t>
            </w:r>
          </w:p>
          <w:p>
            <w:pPr>
              <w:pStyle w:val="ConsPlusNormal"/>
              <w:widowControl w:val="false"/>
              <w:jc w:val="both"/>
              <w:rPr/>
            </w:pPr>
            <w:r>
              <w:rPr/>
              <w:t>3. Контроль исполнения утвержденных объемов финансового обеспечения и сметных (плановых) назначений в рамках утвержденного плана финансово-хозяйственной деятельности Субъекта централизованного учета</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Отражение операций по счетам санкционирования расходов</w:t>
            </w:r>
          </w:p>
        </w:tc>
      </w:tr>
      <w:tr>
        <w:trPr/>
        <w:tc>
          <w:tcPr>
            <w:tcW w:w="9069" w:type="dxa"/>
            <w:gridSpan w:val="2"/>
            <w:tcBorders>
              <w:top w:val="single" w:sz="4" w:space="0" w:color="000000"/>
              <w:left w:val="single" w:sz="4" w:space="0" w:color="000000"/>
              <w:right w:val="single" w:sz="4" w:space="0" w:color="000000"/>
            </w:tcBorders>
          </w:tcPr>
          <w:p>
            <w:pPr>
              <w:pStyle w:val="ConsPlusNormal"/>
              <w:widowControl w:val="false"/>
              <w:numPr>
                <w:ilvl w:val="0"/>
                <w:numId w:val="0"/>
              </w:numPr>
              <w:ind w:left="0" w:hanging="0"/>
              <w:jc w:val="center"/>
              <w:outlineLvl w:val="2"/>
              <w:rPr/>
            </w:pPr>
            <w:r>
              <w:rPr/>
              <w:t>14. Составление отчетности</w:t>
            </w:r>
          </w:p>
        </w:tc>
      </w:tr>
      <w:tr>
        <w:trPr/>
        <w:tc>
          <w:tcPr>
            <w:tcW w:w="453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1. Подготовка в программном комплексе "Свод-Смарт" и направление в ЦБ пояснительной записки к отчетности, в том числе:</w:t>
            </w:r>
          </w:p>
          <w:p>
            <w:pPr>
              <w:pStyle w:val="ConsPlusNormal"/>
              <w:widowControl w:val="false"/>
              <w:jc w:val="both"/>
              <w:rPr/>
            </w:pPr>
            <w:r>
              <w:rPr/>
              <w:t>- раздел 1 "Организационная структура учреждения";</w:t>
            </w:r>
          </w:p>
          <w:p>
            <w:pPr>
              <w:pStyle w:val="ConsPlusNormal"/>
              <w:widowControl w:val="false"/>
              <w:jc w:val="both"/>
              <w:rPr/>
            </w:pPr>
            <w:r>
              <w:rPr/>
              <w:t>- раздел 2 "Результаты деятельности учреждения";</w:t>
            </w:r>
          </w:p>
          <w:p>
            <w:pPr>
              <w:pStyle w:val="ConsPlusNormal"/>
              <w:widowControl w:val="false"/>
              <w:jc w:val="both"/>
              <w:rPr/>
            </w:pPr>
            <w:r>
              <w:rPr/>
              <w:t>- раздел 3 "Анализ отчета об исполнении учреждением плана его деятельности";</w:t>
            </w:r>
          </w:p>
          <w:p>
            <w:pPr>
              <w:pStyle w:val="ConsPlusNormal"/>
              <w:widowControl w:val="false"/>
              <w:jc w:val="both"/>
              <w:rPr/>
            </w:pPr>
            <w:r>
              <w:rPr/>
              <w:t>- раздел 4 "Анализ показателей отчетности учреждения", в части сумм обязательств по судебным решениям и исполнительным документам, причин и сроков образования дебиторской и кредиторской задолженности, с выделением сумм долгосрочной и просроченной задолженности, событий после отчетной даты;</w:t>
            </w:r>
          </w:p>
          <w:p>
            <w:pPr>
              <w:pStyle w:val="ConsPlusNormal"/>
              <w:widowControl w:val="false"/>
              <w:jc w:val="both"/>
              <w:rPr/>
            </w:pPr>
            <w:r>
              <w:rPr/>
              <w:t xml:space="preserve">- </w:t>
            </w:r>
            <w:r>
              <w:rPr>
                <w:shd w:fill="auto" w:val="clear"/>
              </w:rPr>
              <w:t>ф.0503295</w:t>
            </w:r>
            <w:r>
              <w:rPr/>
              <w:t>.</w:t>
            </w:r>
          </w:p>
          <w:p>
            <w:pPr>
              <w:pStyle w:val="ConsPlusNormal"/>
              <w:widowControl w:val="false"/>
              <w:jc w:val="both"/>
              <w:rPr/>
            </w:pPr>
            <w:r>
              <w:rPr/>
              <w:t xml:space="preserve">2. Заполнение в программном комплексе "Свод-Смарт" формы </w:t>
            </w:r>
            <w:hyperlink r:id="rId8">
              <w:r>
                <w:rPr/>
                <w:t>0503775</w:t>
              </w:r>
            </w:hyperlink>
            <w:r>
              <w:rPr/>
              <w:t xml:space="preserve"> "Сведения о принятых и неисполненных обязательствах" в части даты и причин возникновения неисполненных обязательств, даты их исполнения по правовому основанию, сведений об экономии в результате проведенных процедур конкурентным способом и других показателей, относящихся к аналитической информации.</w:t>
            </w:r>
          </w:p>
          <w:p>
            <w:pPr>
              <w:pStyle w:val="ConsPlusNormal"/>
              <w:widowControl w:val="false"/>
              <w:jc w:val="both"/>
              <w:rPr/>
            </w:pPr>
            <w:r>
              <w:rPr/>
              <w:t xml:space="preserve">3. Заполнение в программном комплексе "Свод-Смарт" формы </w:t>
            </w:r>
            <w:hyperlink r:id="rId9">
              <w:r>
                <w:rPr/>
                <w:t>0503790</w:t>
              </w:r>
            </w:hyperlink>
            <w:r>
              <w:rPr/>
              <w:t xml:space="preserve"> "Сведения о вложениях в объекты недвижимого имущества, об объектах незавершенного строительства бюджетного (автономного) учреждения" за исключением стоимостных показателей фактических, кассовых расходов и остатков на начало и конец отчетного периода.</w:t>
            </w:r>
          </w:p>
          <w:p>
            <w:pPr>
              <w:pStyle w:val="ConsPlusNormal"/>
              <w:widowControl w:val="false"/>
              <w:jc w:val="both"/>
              <w:rPr/>
            </w:pPr>
            <w:r>
              <w:rPr/>
              <w:t>4. Представление обновленной карты учета имущества в Министерство экономического развития и имущественных отношений Чувашской Республики.</w:t>
            </w:r>
          </w:p>
          <w:p>
            <w:pPr>
              <w:pStyle w:val="ConsPlusNormal"/>
              <w:widowControl w:val="false"/>
              <w:jc w:val="both"/>
              <w:rPr/>
            </w:pPr>
            <w:r>
              <w:rPr/>
              <w:t>5. Анализ бухгалтерской отчетности Субъекта централизованного учета, содержащей плановые (прогнозные) и аналитические показатели.</w:t>
            </w:r>
          </w:p>
          <w:p>
            <w:pPr>
              <w:pStyle w:val="ConsPlusNormal"/>
              <w:widowControl w:val="false"/>
              <w:jc w:val="both"/>
              <w:rPr/>
            </w:pPr>
            <w:r>
              <w:rPr/>
              <w:t>6. Подписание бухгалтерской отчетности Субъекта централизованного учета.</w:t>
            </w:r>
          </w:p>
          <w:p>
            <w:pPr>
              <w:pStyle w:val="Normal"/>
              <w:widowControl w:val="false"/>
              <w:spacing w:before="0" w:after="0"/>
              <w:jc w:val="both"/>
              <w:rPr>
                <w:rFonts w:ascii="Arial" w:hAnsi="Arial" w:eastAsia="" w:cs="Arial" w:eastAsiaTheme="minorEastAsia"/>
                <w:sz w:val="20"/>
                <w:lang w:eastAsia="ru-RU"/>
              </w:rPr>
            </w:pPr>
            <w:bookmarkStart w:id="5" w:name="ext-gen1532"/>
            <w:bookmarkEnd w:id="5"/>
            <w:r>
              <w:rPr>
                <w:rFonts w:eastAsia="" w:cs="Arial" w:ascii="Arial" w:hAnsi="Arial" w:eastAsiaTheme="minorEastAsia"/>
                <w:sz w:val="20"/>
                <w:lang w:eastAsia="ru-RU"/>
              </w:rPr>
              <w:t>7.Формирование и представление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в установленные сроки.</w:t>
            </w:r>
          </w:p>
          <w:p>
            <w:pPr>
              <w:pStyle w:val="ConsPlusNormal"/>
              <w:widowControl w:val="false"/>
              <w:jc w:val="both"/>
              <w:rPr/>
            </w:pPr>
            <w:r>
              <w:rPr/>
              <w:t>8. Размещение необходимой информации на официальном сайте Субъекта централизованного учета и на сайте bus.gov.ru</w:t>
            </w:r>
          </w:p>
          <w:p>
            <w:pPr>
              <w:pStyle w:val="ConsPlusNormal"/>
              <w:widowControl w:val="false"/>
              <w:jc w:val="both"/>
              <w:rPr/>
            </w:pPr>
            <w:r>
              <w:rPr/>
              <w:t>9. Представление годовой бухгалтерской отчетности в орган исполнительной власти Чувашской Республики, осуществляющий полномочия учредителя Субъекта централизованной отчетности, в установленные сроки</w:t>
            </w:r>
          </w:p>
        </w:tc>
        <w:tc>
          <w:tcPr>
            <w:tcW w:w="453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 xml:space="preserve">1. Формирование в ЕЦИС бухгалтерской отчетности Субъекта централизованного учета в соответствии с требованиями к составлению и представлению отчетности, которые установлены </w:t>
            </w:r>
            <w:hyperlink r:id="rId10">
              <w:r>
                <w:rPr/>
                <w:t>Инструкцией</w:t>
              </w:r>
            </w:hyperlink>
            <w:r>
              <w:rPr/>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N 33н (зарегистрирован в Министерстве юстиции Российской Федерации 22 апреля 2011 г., регистрационный N 20558), как получателя средств бюджета, администратора доходов бюджета, администратора источников финансирования дефицита бюджета, выгрузка отчетности в программном комплексе "Свод-Смарт" и взаимодействие по предоставленной отчетности с Министерством финансов Чувашской Республики и органом исполнительной власти Чувашской Республики, осуществляющем полномочия учредителя Субъекта централизованного учета.</w:t>
            </w:r>
          </w:p>
          <w:p>
            <w:pPr>
              <w:pStyle w:val="ConsPlusNormal"/>
              <w:widowControl w:val="false"/>
              <w:jc w:val="both"/>
              <w:rPr/>
            </w:pPr>
            <w:r>
              <w:rPr/>
              <w:t>2. Формирование в ЕЦИС и представление отчетности Субъекта централизованного учета в уполномоченные органы Федеральной налоговой службы Российской Федерации, государственные внебюджетные фонды, в установленные сроки и взаимодействие по представленной отчетности</w:t>
            </w:r>
          </w:p>
        </w:tc>
      </w:tr>
    </w:tbl>
    <w:p>
      <w:pPr>
        <w:pStyle w:val="ConsPlusNormal"/>
        <w:jc w:val="both"/>
        <w:rPr/>
      </w:pPr>
      <w:r>
        <w:rPr/>
      </w:r>
    </w:p>
    <w:p>
      <w:pPr>
        <w:pStyle w:val="ConsPlusNormal"/>
        <w:jc w:val="both"/>
        <w:rPr/>
      </w:pPr>
      <w:r>
        <w:rPr/>
      </w:r>
    </w:p>
    <w:p>
      <w:pPr>
        <w:pStyle w:val="Normal"/>
        <w:spacing w:lineRule="auto" w:line="240" w:before="0" w:after="0"/>
        <w:rPr>
          <w:rFonts w:ascii="Arial" w:hAnsi="Arial" w:eastAsia="" w:cs="Arial" w:eastAsiaTheme="minorEastAsia"/>
          <w:sz w:val="20"/>
          <w:lang w:eastAsia="ru-RU"/>
        </w:rPr>
      </w:pPr>
      <w:r>
        <w:rPr>
          <w:rFonts w:eastAsia="" w:cs="Arial" w:eastAsiaTheme="minorEastAsia" w:ascii="Arial" w:hAnsi="Arial"/>
          <w:sz w:val="20"/>
          <w:lang w:eastAsia="ru-RU"/>
        </w:rPr>
      </w:r>
      <w:r>
        <w:br w:type="page"/>
      </w:r>
    </w:p>
    <w:p>
      <w:pPr>
        <w:pStyle w:val="ConsPlusNormal"/>
        <w:numPr>
          <w:ilvl w:val="0"/>
          <w:numId w:val="0"/>
        </w:numPr>
        <w:ind w:left="0" w:hanging="0"/>
        <w:jc w:val="right"/>
        <w:outlineLvl w:val="1"/>
        <w:rPr/>
      </w:pPr>
      <w:r>
        <w:rPr/>
        <w:t>Приложение N 2</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Title"/>
        <w:jc w:val="center"/>
        <w:rPr/>
      </w:pPr>
      <w:bookmarkStart w:id="6" w:name="P689"/>
      <w:bookmarkEnd w:id="6"/>
      <w:r>
        <w:rPr/>
        <w:t>ПЕРЕЧЕНЬ</w:t>
      </w:r>
    </w:p>
    <w:p>
      <w:pPr>
        <w:pStyle w:val="ConsPlusTitle"/>
        <w:jc w:val="center"/>
        <w:rPr/>
      </w:pPr>
      <w:r>
        <w:rPr/>
        <w:t>ДОКУМЕНТОВ, НЕОБХОДИМЫХ ДЛЯ ИСПОЛНЕНИЯ РЕГЛАМЕНТА ВЗАИМОДЕЙСТВИЯ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В СЛУЧАЕ ЗАКЛЮЧЕНИЯ  ДОГОВОРОВ ОБ ОКАЗАНИИ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w:t>
      </w:r>
    </w:p>
    <w:p>
      <w:pPr>
        <w:pStyle w:val="ConsPlusNormal"/>
        <w:jc w:val="both"/>
        <w:rPr/>
      </w:pPr>
      <w:r>
        <w:rPr/>
      </w:r>
    </w:p>
    <w:tbl>
      <w:tblPr>
        <w:tblW w:w="9071"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2831"/>
        <w:gridCol w:w="3122"/>
        <w:gridCol w:w="3118"/>
      </w:tblGrid>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документа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Подписывается со стороны Субъекта централизованного учета</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Подписывается со стороны ЦБ</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Запрос о предоставлении информации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заместитель руководителя/главный бухгалтер (лица, их замещающие)</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Приказ, служебная записка, справка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Государственный контракт, соглашение, договор</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Счет</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Виза руководителя на оплату (лица, его замещающего)</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Акт выполненных работ (оказанных услуг)</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Накладная, товарно-транспортная накладная, универсальный передаточный акт</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материально ответственное лицо</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Доверенность на получение товарно-материальных ценностей (далее – ТМЦ)</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лицо, получающее ТМЦ</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Акт о приеме-передаче, акт о списании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члены комиссии</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Ведомость выдачи материалов на нужды учреждения</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лицо, выдающее ТМЦ, исполнитель</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Сведения о состоянии дебиторской и кредиторской задолженности (по запросу Субъекта централизованного учета)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rFonts w:eastAsia="" w:eastAsiaTheme="minorEastAsia"/>
                <w:highlight w:val="none"/>
                <w:shd w:fill="auto" w:val="clear"/>
              </w:rPr>
            </w:pPr>
            <w:r>
              <w:rPr>
                <w:rFonts w:eastAsia="" w:eastAsiaTheme="minorEastAsia"/>
                <w:shd w:fill="auto" w:val="clear"/>
              </w:rPr>
              <w:t>Руководитель/ заместитель руководителя (лица, их замещающие) или Уполномоченное лицо;</w:t>
            </w:r>
          </w:p>
          <w:p>
            <w:pPr>
              <w:pStyle w:val="ConsPlusNormal"/>
              <w:widowControl w:val="false"/>
              <w:jc w:val="both"/>
              <w:rPr>
                <w:rFonts w:eastAsia="" w:eastAsiaTheme="minorEastAsia"/>
                <w:highlight w:val="none"/>
                <w:shd w:fill="auto" w:val="clear"/>
              </w:rPr>
            </w:pPr>
            <w:r>
              <w:rPr>
                <w:rFonts w:eastAsia="" w:eastAsiaTheme="minorEastAsia"/>
                <w:shd w:fill="auto" w:val="clear"/>
              </w:rPr>
              <w:t>главный бухгалтер (лицо, его замещающее) или Уполномоченное лицо</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Распоряжение Субъекта централизованного учета на перечисление средств</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Заявление работника о перечислении денежных средств под отчет (в том числе перерасхода по подотчетным суммам) на зарплатную карту</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Виза руководителя (лица, его замещающего) на оплату</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Заявление работника об удержании из заработной платы</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Виза руководителя (лица, его замещающего)</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Заявление на выдачу аванса под отчет</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Виза руководителя (лица, его замещающего) на оплату</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Информация о наличии задолженности по подотчетным суммам -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Авансовые отчеты (отчет о расходах подотчетного лица)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подотчетное лицо, руководитель структурного подразделения</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Решение о командировании на территории Российской Федерации, изменение решения о командировании на территории Российской Федерации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подотчетное лицо, руководитель структурного подразделения, руководитель финансово-экономического подразделения</w:t>
            </w:r>
          </w:p>
          <w:p>
            <w:pPr>
              <w:pStyle w:val="ConsPlusNormal"/>
              <w:widowControl w:val="false"/>
              <w:jc w:val="both"/>
              <w:rPr/>
            </w:pPr>
            <w:r>
              <w:rPr/>
              <w:t>(уполномоченное лицо), ответственный исполнитель кадрового подразделения</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Информация о наличии задолженности по подотчетным суммам по ранее выданным авансам -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Заявка-обоснование закупки товаров, работ, услуг малого объема</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Руководитель (лицо, его замещающее), подотчетное лицо, руководитель структурного подразделения, ответственное лицо контрактной службы (контрактный управляющий), ответственное лицо финансово-экономического подразделения (уполномоченное лицо)</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Отчет о расходах подотчет-ного лица</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Руководитель (лицо, его замещающее), подотчетное лицо, руководитель структурного подразделения, руководитель финансово-экономического подразделения (уполномоченное лицо), ответственное лицо учреждения</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Приходный кассовый ордер</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кассир</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Расходный кассовый ордер</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кассир</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Отчет кассира</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Кассир</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Документы, связанные с контрольно-кассовой машиной (чеки, кассовые смены, отчеты и т.п.)</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Кассир</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по начислению администрируемых доходов (с приложением подтверждающих документов)</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Плановые назначения (план финансово-хозяйственной деятельности учреждения)</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руководитель финансово-экономического подразделения (уполномоченное лицо)</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Регистрация обязательств и сведений по договорам</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shd w:fill="DDE8CB" w:val="clear"/>
              </w:rPr>
            </w:pPr>
            <w:r>
              <w:rPr/>
              <w:t>Бухгалтерская справка (ф. 0504833) – Руководитель/ заместитель руководителя/ главный бухгалтер/начальник отдела, Уполномоченный работник</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о денежных обязательствах</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руководитель финансово-экономического подразделения (уполномоченное лицо)</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Решение о признании объектов нефинансовых активов</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комиссия, ответственный исполнитель</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Решение о прекращении признания активами объектов нефинансовых активов</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комиссия, ответственный исполнитель</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Решение об оценке имущества</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комиссия, ответственный исполнитель</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Решение о проведении инвентаризации</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комиссия, ответственный исполнитель</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Книга продаж</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Книга покупок</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Табель учета использования рабочего времени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Уполномоченные работники</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Отметка о принятии табеля -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Исполнительный лист</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Справка о заработной плате работника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 (лица, их замещающее)</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Бухгалтерская (бюджетная) отчетность</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 (лица их замещающие),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Отчетность в налоговые органы, основанная исключительно на данных  бухгалтерского учета и данных, представленных Субъектом централизованного учета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 начальник отдела</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Отчетность в государственные внебюджетные фонды и отчетность, основанная исключительно на данных бухгалтерского учета, в органы государственной статистики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бухгалтера/начальник отдела</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zCs w:val="20"/>
              </w:rPr>
            </w:pPr>
            <w:r>
              <w:rPr>
                <w:iCs/>
              </w:rPr>
              <w:t xml:space="preserve">Отчет о результатах деятельности  </w:t>
            </w:r>
            <w:r>
              <w:rPr/>
              <w:t xml:space="preserve">государственного (муниципального) </w:t>
            </w:r>
            <w:r>
              <w:rPr>
                <w:iCs/>
              </w:rPr>
              <w:t xml:space="preserve">учреждения </w:t>
            </w:r>
            <w:r>
              <w:rPr/>
              <w:t>и об использовании закрепленного за ним государственного (муниципального) имущества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 (или) Уполномоченный работник</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r>
      <w:tr>
        <w:trPr/>
        <w:tc>
          <w:tcPr>
            <w:tcW w:w="2831" w:type="dxa"/>
            <w:tcBorders>
              <w:left w:val="single" w:sz="4" w:space="0" w:color="000000"/>
              <w:bottom w:val="single" w:sz="4" w:space="0" w:color="000000"/>
              <w:right w:val="single" w:sz="4" w:space="0" w:color="000000"/>
            </w:tcBorders>
          </w:tcPr>
          <w:p>
            <w:pPr>
              <w:pStyle w:val="ConsPlusNormal"/>
              <w:widowControl w:val="false"/>
              <w:jc w:val="both"/>
              <w:rPr/>
            </w:pPr>
            <w:r>
              <w:rPr/>
              <w:t>Заявка на кассовый расход или платежное поручение</w:t>
            </w:r>
          </w:p>
        </w:tc>
        <w:tc>
          <w:tcPr>
            <w:tcW w:w="3122"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или Уполномоченный работник</w:t>
            </w:r>
          </w:p>
        </w:tc>
        <w:tc>
          <w:tcPr>
            <w:tcW w:w="3118" w:type="dxa"/>
            <w:tcBorders>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бухгалтера/начальник отдела/заместитель начальника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Регистр бухгалтерского учета</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бухгалтера/начальник отдела, Уполномоченный работник</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Расчетная ведомость</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(лицо его замещающее), главный бухгалтер (лицо, его замещающее), Уполномоченный работник</w:t>
            </w:r>
          </w:p>
        </w:tc>
      </w:tr>
      <w:tr>
        <w:trPr/>
        <w:tc>
          <w:tcPr>
            <w:tcW w:w="2831" w:type="dxa"/>
            <w:tcBorders>
              <w:top w:val="single" w:sz="4" w:space="0" w:color="000000"/>
              <w:left w:val="single" w:sz="4" w:space="0" w:color="000000"/>
              <w:right w:val="single" w:sz="4" w:space="0" w:color="000000"/>
            </w:tcBorders>
          </w:tcPr>
          <w:p>
            <w:pPr>
              <w:pStyle w:val="ConsPlusNormal"/>
              <w:widowControl w:val="false"/>
              <w:jc w:val="both"/>
              <w:rPr/>
            </w:pPr>
            <w:r>
              <w:rPr/>
              <w:t>Реестр на перечисление средств на банковские карты</w:t>
            </w:r>
          </w:p>
        </w:tc>
        <w:tc>
          <w:tcPr>
            <w:tcW w:w="3122" w:type="dxa"/>
            <w:tcBorders>
              <w:top w:val="single" w:sz="4" w:space="0" w:color="000000"/>
              <w:left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right w:val="single" w:sz="4" w:space="0" w:color="000000"/>
            </w:tcBorders>
          </w:tcPr>
          <w:p>
            <w:pPr>
              <w:pStyle w:val="ConsPlusNormal"/>
              <w:widowControl w:val="false"/>
              <w:jc w:val="both"/>
              <w:rPr/>
            </w:pPr>
            <w:r>
              <w:rPr/>
              <w:t>Руководитель/заместитель руководителя/главный бухгалтер/заместитель главного бухгалтера (лица их замещающие)</w:t>
            </w:r>
          </w:p>
        </w:tc>
      </w:tr>
      <w:tr>
        <w:trPr/>
        <w:tc>
          <w:tcPr>
            <w:tcW w:w="2831"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Ведомость выплат на карточки</w:t>
            </w:r>
          </w:p>
        </w:tc>
        <w:tc>
          <w:tcPr>
            <w:tcW w:w="3122"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Нет</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Руководитель, заместитель руководителя (лицо, его замещающее),</w:t>
            </w:r>
          </w:p>
          <w:p>
            <w:pPr>
              <w:pStyle w:val="ConsPlusNormal"/>
              <w:widowControl w:val="false"/>
              <w:jc w:val="both"/>
              <w:rPr/>
            </w:pPr>
            <w:r>
              <w:rPr/>
              <w:t>главный бухгалтер (лицо, его замещающее)</w:t>
            </w:r>
          </w:p>
        </w:tc>
      </w:tr>
    </w:tbl>
    <w:p>
      <w:pPr>
        <w:pStyle w:val="ConsPlusNormal"/>
        <w:jc w:val="both"/>
        <w:rPr/>
      </w:pPr>
      <w:r>
        <w:rPr/>
      </w:r>
    </w:p>
    <w:p>
      <w:pPr>
        <w:pStyle w:val="Normal"/>
        <w:spacing w:lineRule="auto" w:line="240" w:before="0" w:after="0"/>
        <w:rPr>
          <w:rFonts w:ascii="Arial" w:hAnsi="Arial" w:eastAsia="" w:cs="Arial" w:eastAsiaTheme="minorEastAsia"/>
          <w:sz w:val="20"/>
          <w:lang w:eastAsia="ru-RU"/>
        </w:rPr>
      </w:pPr>
      <w:r>
        <w:rPr>
          <w:rFonts w:eastAsia="" w:cs="Arial" w:eastAsiaTheme="minorEastAsia" w:ascii="Arial" w:hAnsi="Arial"/>
          <w:sz w:val="20"/>
          <w:lang w:eastAsia="ru-RU"/>
        </w:rPr>
      </w:r>
      <w:r>
        <w:br w:type="page"/>
      </w:r>
    </w:p>
    <w:p>
      <w:pPr>
        <w:pStyle w:val="ConsPlusNormal"/>
        <w:jc w:val="both"/>
        <w:rPr/>
      </w:pPr>
      <w:r>
        <w:rPr/>
      </w:r>
    </w:p>
    <w:p>
      <w:pPr>
        <w:pStyle w:val="ConsPlusNormal"/>
        <w:numPr>
          <w:ilvl w:val="0"/>
          <w:numId w:val="0"/>
        </w:numPr>
        <w:ind w:left="0" w:hanging="0"/>
        <w:jc w:val="right"/>
        <w:outlineLvl w:val="1"/>
        <w:rPr/>
      </w:pPr>
      <w:r>
        <w:rPr/>
        <w:t>Приложение N 3</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spacing w:before="0" w:after="1"/>
        <w:rPr/>
      </w:pPr>
      <w:r>
        <w:rPr/>
      </w:r>
    </w:p>
    <w:p>
      <w:pPr>
        <w:pStyle w:val="ConsPlusNormal"/>
        <w:jc w:val="both"/>
        <w:rPr/>
      </w:pPr>
      <w:r>
        <w:rPr/>
      </w:r>
    </w:p>
    <w:p>
      <w:pPr>
        <w:pStyle w:val="ConsPlusNormal"/>
        <w:jc w:val="center"/>
        <w:rPr/>
      </w:pPr>
      <w:bookmarkStart w:id="7" w:name="P831"/>
      <w:bookmarkEnd w:id="7"/>
      <w:r>
        <w:rPr>
          <w:b/>
        </w:rPr>
        <w:t>Согласие</w:t>
      </w:r>
    </w:p>
    <w:p>
      <w:pPr>
        <w:pStyle w:val="ConsPlusNormal"/>
        <w:jc w:val="center"/>
        <w:rPr/>
      </w:pPr>
      <w:r>
        <w:rPr>
          <w:b/>
        </w:rPr>
        <w:t>субъекта персональных данных на поручение</w:t>
      </w:r>
    </w:p>
    <w:p>
      <w:pPr>
        <w:pStyle w:val="ConsPlusNormal"/>
        <w:jc w:val="center"/>
        <w:rPr/>
      </w:pPr>
      <w:r>
        <w:rPr>
          <w:b/>
        </w:rPr>
        <w:t>обработки персональных данных</w:t>
      </w:r>
    </w:p>
    <w:p>
      <w:pPr>
        <w:pStyle w:val="ConsPlusNormal"/>
        <w:jc w:val="both"/>
        <w:rPr/>
      </w:pPr>
      <w:r>
        <w:rPr/>
      </w:r>
    </w:p>
    <w:tbl>
      <w:tblPr>
        <w:tblW w:w="9029"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349"/>
        <w:gridCol w:w="1304"/>
        <w:gridCol w:w="1248"/>
        <w:gridCol w:w="567"/>
        <w:gridCol w:w="679"/>
        <w:gridCol w:w="352"/>
        <w:gridCol w:w="1040"/>
        <w:gridCol w:w="485"/>
        <w:gridCol w:w="2660"/>
        <w:gridCol w:w="345"/>
      </w:tblGrid>
      <w:tr>
        <w:trPr/>
        <w:tc>
          <w:tcPr>
            <w:tcW w:w="349" w:type="dxa"/>
            <w:tcBorders/>
          </w:tcPr>
          <w:p>
            <w:pPr>
              <w:pStyle w:val="ConsPlusNormal"/>
              <w:widowControl w:val="false"/>
              <w:rPr/>
            </w:pPr>
            <w:r>
              <w:rPr/>
              <w:t>Я,</w:t>
            </w:r>
          </w:p>
        </w:tc>
        <w:tc>
          <w:tcPr>
            <w:tcW w:w="8335" w:type="dxa"/>
            <w:gridSpan w:val="8"/>
            <w:tcBorders>
              <w:bottom w:val="single" w:sz="4" w:space="0" w:color="000000"/>
            </w:tcBorders>
          </w:tcPr>
          <w:p>
            <w:pPr>
              <w:pStyle w:val="ConsPlusNormal"/>
              <w:widowControl w:val="false"/>
              <w:rPr/>
            </w:pPr>
            <w:r>
              <w:rPr/>
            </w:r>
          </w:p>
        </w:tc>
        <w:tc>
          <w:tcPr>
            <w:tcW w:w="345" w:type="dxa"/>
            <w:tcBorders/>
          </w:tcPr>
          <w:p>
            <w:pPr>
              <w:pStyle w:val="ConsPlusNormal"/>
              <w:widowControl w:val="false"/>
              <w:jc w:val="center"/>
              <w:rPr/>
            </w:pPr>
            <w:r>
              <w:rPr/>
              <w:t>,</w:t>
            </w:r>
          </w:p>
        </w:tc>
      </w:tr>
      <w:tr>
        <w:trPr/>
        <w:tc>
          <w:tcPr>
            <w:tcW w:w="9029" w:type="dxa"/>
            <w:gridSpan w:val="10"/>
            <w:tcBorders/>
          </w:tcPr>
          <w:p>
            <w:pPr>
              <w:pStyle w:val="ConsPlusNormal"/>
              <w:widowControl w:val="false"/>
              <w:jc w:val="center"/>
              <w:rPr/>
            </w:pPr>
            <w:r>
              <w:rPr/>
              <w:t>(фамилия, имя, отчество)</w:t>
            </w:r>
          </w:p>
          <w:p>
            <w:pPr>
              <w:pStyle w:val="ConsPlusNormal"/>
              <w:widowControl w:val="false"/>
              <w:rPr/>
            </w:pPr>
            <w:r>
              <w:rPr/>
              <w:t>проживающий(ая) по адресу:</w:t>
            </w:r>
          </w:p>
        </w:tc>
      </w:tr>
      <w:tr>
        <w:trPr/>
        <w:tc>
          <w:tcPr>
            <w:tcW w:w="9029" w:type="dxa"/>
            <w:gridSpan w:val="10"/>
            <w:tcBorders>
              <w:bottom w:val="single" w:sz="4" w:space="0" w:color="000000"/>
            </w:tcBorders>
          </w:tcPr>
          <w:p>
            <w:pPr>
              <w:pStyle w:val="ConsPlusNormal"/>
              <w:widowControl w:val="false"/>
              <w:rPr/>
            </w:pPr>
            <w:r>
              <w:rPr/>
            </w:r>
          </w:p>
        </w:tc>
      </w:tr>
      <w:tr>
        <w:trPr/>
        <w:tc>
          <w:tcPr>
            <w:tcW w:w="9029" w:type="dxa"/>
            <w:gridSpan w:val="10"/>
            <w:tcBorders>
              <w:top w:val="single" w:sz="4" w:space="0" w:color="000000"/>
              <w:bottom w:val="single" w:sz="4" w:space="0" w:color="000000"/>
            </w:tcBorders>
          </w:tcPr>
          <w:p>
            <w:pPr>
              <w:pStyle w:val="ConsPlusNormal"/>
              <w:widowControl w:val="false"/>
              <w:rPr/>
            </w:pPr>
            <w:r>
              <w:rPr/>
            </w:r>
          </w:p>
        </w:tc>
      </w:tr>
      <w:tr>
        <w:trPr/>
        <w:tc>
          <w:tcPr>
            <w:tcW w:w="1653" w:type="dxa"/>
            <w:gridSpan w:val="2"/>
            <w:tcBorders>
              <w:top w:val="single" w:sz="4" w:space="0" w:color="000000"/>
            </w:tcBorders>
          </w:tcPr>
          <w:p>
            <w:pPr>
              <w:pStyle w:val="ConsPlusNormal"/>
              <w:widowControl w:val="false"/>
              <w:rPr/>
            </w:pPr>
            <w:r>
              <w:rPr/>
              <w:t>паспорт серии</w:t>
            </w:r>
          </w:p>
        </w:tc>
        <w:tc>
          <w:tcPr>
            <w:tcW w:w="2494" w:type="dxa"/>
            <w:gridSpan w:val="3"/>
            <w:tcBorders>
              <w:top w:val="single" w:sz="4" w:space="0" w:color="000000"/>
              <w:bottom w:val="single" w:sz="4" w:space="0" w:color="000000"/>
            </w:tcBorders>
          </w:tcPr>
          <w:p>
            <w:pPr>
              <w:pStyle w:val="ConsPlusNormal"/>
              <w:widowControl w:val="false"/>
              <w:rPr/>
            </w:pPr>
            <w:r>
              <w:rPr/>
            </w:r>
          </w:p>
        </w:tc>
        <w:tc>
          <w:tcPr>
            <w:tcW w:w="352" w:type="dxa"/>
            <w:tcBorders>
              <w:top w:val="single" w:sz="4" w:space="0" w:color="000000"/>
            </w:tcBorders>
          </w:tcPr>
          <w:p>
            <w:pPr>
              <w:pStyle w:val="ConsPlusNormal"/>
              <w:widowControl w:val="false"/>
              <w:jc w:val="center"/>
              <w:rPr/>
            </w:pPr>
            <w:r>
              <w:rPr/>
              <w:t>N</w:t>
            </w:r>
          </w:p>
        </w:tc>
        <w:tc>
          <w:tcPr>
            <w:tcW w:w="4530" w:type="dxa"/>
            <w:gridSpan w:val="4"/>
            <w:tcBorders>
              <w:top w:val="single" w:sz="4" w:space="0" w:color="000000"/>
              <w:bottom w:val="single" w:sz="4" w:space="0" w:color="000000"/>
            </w:tcBorders>
          </w:tcPr>
          <w:p>
            <w:pPr>
              <w:pStyle w:val="ConsPlusNormal"/>
              <w:widowControl w:val="false"/>
              <w:rPr/>
            </w:pPr>
            <w:r>
              <w:rPr/>
            </w:r>
          </w:p>
        </w:tc>
      </w:tr>
      <w:tr>
        <w:trPr/>
        <w:tc>
          <w:tcPr>
            <w:tcW w:w="1653" w:type="dxa"/>
            <w:gridSpan w:val="2"/>
            <w:tcBorders/>
          </w:tcPr>
          <w:p>
            <w:pPr>
              <w:pStyle w:val="ConsPlusNormal"/>
              <w:widowControl w:val="false"/>
              <w:rPr/>
            </w:pPr>
            <w:r>
              <w:rPr/>
              <w:t>выдан</w:t>
            </w:r>
          </w:p>
        </w:tc>
        <w:tc>
          <w:tcPr>
            <w:tcW w:w="7376" w:type="dxa"/>
            <w:gridSpan w:val="8"/>
            <w:tcBorders>
              <w:bottom w:val="single" w:sz="4" w:space="0" w:color="000000"/>
            </w:tcBorders>
          </w:tcPr>
          <w:p>
            <w:pPr>
              <w:pStyle w:val="ConsPlusNormal"/>
              <w:widowControl w:val="false"/>
              <w:rPr/>
            </w:pPr>
            <w:r>
              <w:rPr/>
            </w:r>
          </w:p>
        </w:tc>
      </w:tr>
      <w:tr>
        <w:trPr/>
        <w:tc>
          <w:tcPr>
            <w:tcW w:w="9029" w:type="dxa"/>
            <w:gridSpan w:val="10"/>
            <w:tcBorders>
              <w:bottom w:val="single" w:sz="4" w:space="0" w:color="000000"/>
            </w:tcBorders>
          </w:tcPr>
          <w:p>
            <w:pPr>
              <w:pStyle w:val="ConsPlusNormal"/>
              <w:widowControl w:val="false"/>
              <w:jc w:val="both"/>
              <w:rPr/>
            </w:pPr>
            <w:r>
              <w:rPr/>
            </w:r>
          </w:p>
        </w:tc>
      </w:tr>
      <w:tr>
        <w:trPr/>
        <w:tc>
          <w:tcPr>
            <w:tcW w:w="1653" w:type="dxa"/>
            <w:gridSpan w:val="2"/>
            <w:tcBorders>
              <w:top w:val="single" w:sz="4" w:space="0" w:color="000000"/>
            </w:tcBorders>
          </w:tcPr>
          <w:p>
            <w:pPr>
              <w:pStyle w:val="ConsPlusNormal"/>
              <w:widowControl w:val="false"/>
              <w:rPr/>
            </w:pPr>
            <w:r>
              <w:rPr/>
              <w:t>дата выдачи</w:t>
            </w:r>
          </w:p>
        </w:tc>
        <w:tc>
          <w:tcPr>
            <w:tcW w:w="7376" w:type="dxa"/>
            <w:gridSpan w:val="8"/>
            <w:tcBorders>
              <w:top w:val="single" w:sz="4" w:space="0" w:color="000000"/>
            </w:tcBorders>
          </w:tcPr>
          <w:p>
            <w:pPr>
              <w:pStyle w:val="ConsPlusNormal"/>
              <w:widowControl w:val="false"/>
              <w:jc w:val="both"/>
              <w:rPr/>
            </w:pPr>
            <w:r>
              <w:rPr/>
              <w:t>"_____" ___________ 20___ г.</w:t>
            </w:r>
          </w:p>
        </w:tc>
      </w:tr>
      <w:tr>
        <w:trPr/>
        <w:tc>
          <w:tcPr>
            <w:tcW w:w="9029" w:type="dxa"/>
            <w:gridSpan w:val="10"/>
            <w:tcBorders/>
          </w:tcPr>
          <w:p>
            <w:pPr>
              <w:pStyle w:val="ConsPlusNormal"/>
              <w:widowControl w:val="false"/>
              <w:ind w:firstLine="283"/>
              <w:jc w:val="both"/>
              <w:rPr/>
            </w:pPr>
            <w:r>
              <w:rPr/>
              <w:t xml:space="preserve">свободно, своей волей и в своем интересе в соответствии с требованиями </w:t>
            </w:r>
            <w:hyperlink r:id="rId11">
              <w:r>
                <w:rPr/>
                <w:t>ч. 3 ст. 6</w:t>
              </w:r>
            </w:hyperlink>
            <w:r>
              <w:rPr/>
              <w:t xml:space="preserve"> Федерального закона от 27 июля 2006 г. N 152-ФЗ "О персональных данных" даю согласие уполномоченным должностным лицам _______________________________________ (наименование автономного, бюджетного учреждения Чувашской Республики, юридический адрес) (далее - Оператор) на поручение обработки следующих персональных данных: фамилия, имя, отчество (последнее - при наличии) (в том числе предыдущие фамилии, имена и (или) отчества (последнее - при наличии), в случае их изменения); число, месяц, год рождения; место рождения; пол; гражданство; адрес регистрации; адрес фактического проживания; контактные телефоны (или иной вид связи); данные документа, удостоверяющего личность; наименование органа, выдавшего документ, удостоверяющий личность; дата выдачи документа, удостоверяющего личность; ИНН; СНИЛС; реквизиты документа об образовании; сведения об образовании; направление подготовки или специальность по документу об образовании; квалификация по документу об образовании;  профессия; сведения о послевузовском профессиональном образовании; должность; сведения о трудовой деятельности; семейное положение; сведения о составе семьи, о близких родственниках (в том числе бывших); сведения, указанные в свидетельстве о государственной регистрации акта гражданского состояния; реквизиты, дата выдачи свидетельства о государственной регистрации акта гражданского состояния; наименование органа, выдавшего свидетельство о государственной регистрации акта гражданского состояния; данные о месте фактического проживания, данные об отпусках; данные о командировках; сведения о доходах; сведения о вычетах; сведения о налогах; сведения о страховых взносах; сведения о взысканиях; сведения об удержаниях из доходов; сведения, содержащиеся в водительском удостоверении; данные листка нетрудоспособности; сведения об инвалидности; информация, содержащаяся </w:t>
            </w:r>
            <w:r>
              <w:rPr>
                <w:strike/>
              </w:rPr>
              <w:t>в</w:t>
            </w:r>
            <w:r>
              <w:rPr/>
              <w:t xml:space="preserve"> трудовом договоре, дополнительных соглашениях к трудовому договору; банковские реквизиты; стаж работы (общий, страховой); сведения, указанные в исполнительных листах; сведения, указанные в постановлении судебного пристава; сведения, указанные в решении суда; сведения о государственных наградах, иных наградах и знаках отличия; иные сведения, строго необходимые в целях выполнения требований трудового и налогового законодательства Российской Федерации</w:t>
            </w:r>
          </w:p>
          <w:p>
            <w:pPr>
              <w:pStyle w:val="ConsPlusNormal"/>
              <w:widowControl w:val="false"/>
              <w:ind w:firstLine="283"/>
              <w:jc w:val="both"/>
              <w:rPr/>
            </w:pPr>
            <w:r>
              <w:rPr/>
              <w:t>следующему юридическому лицу: казенному учреждению Чувашской Республики "Республиканский центр бухгалтерского учета", адрес: ________________________</w:t>
            </w:r>
          </w:p>
          <w:p>
            <w:pPr>
              <w:pStyle w:val="ConsPlusNormal"/>
              <w:widowControl w:val="false"/>
              <w:ind w:firstLine="283"/>
              <w:jc w:val="both"/>
              <w:rPr/>
            </w:pPr>
            <w:r>
              <w:rPr/>
              <w:t>в целях: выполнения требований</w:t>
            </w:r>
            <w:r>
              <w:rPr>
                <w:strike w:val="false"/>
                <w:dstrike w:val="false"/>
              </w:rPr>
              <w:t xml:space="preserve">, </w:t>
            </w:r>
            <w:r>
              <w:rPr/>
              <w:t>трудового, налогового законодательства (исполнение трудового договора, регистрация и обработка сведений о профессиональной деятельности работников, оформление и выдача справок с места работы, предоставление сведений в различные организации в соответствии с законодательством Российской Федерации и законодательством Чувашской Республики).</w:t>
            </w:r>
          </w:p>
          <w:p>
            <w:pPr>
              <w:pStyle w:val="ConsPlusNormal"/>
              <w:widowControl w:val="false"/>
              <w:ind w:firstLine="283"/>
              <w:jc w:val="both"/>
              <w:rPr/>
            </w:pPr>
            <w:r>
              <w:rPr/>
              <w:t>Казенное учреждение Чувашской Республики "Республиканский центр бухгалтерского учета" вправе осуществлять передачу сведений третьим лицам в соответствии с законодательством Российской Федерации.</w:t>
            </w:r>
          </w:p>
          <w:p>
            <w:pPr>
              <w:pStyle w:val="ConsPlusNormal"/>
              <w:widowControl w:val="false"/>
              <w:ind w:firstLine="283"/>
              <w:jc w:val="both"/>
              <w:rPr/>
            </w:pPr>
            <w:r>
              <w:rPr/>
              <w:t xml:space="preserve">Я предупрежден(а), что поручение Оператором обработки персональных данных третьим лицам осуществляется с использованием бумажных носителей и средств вычислительной техники, с соблюдением принципов и правил обработки персональных данных, предусмотренных Федеральным </w:t>
            </w:r>
            <w:hyperlink r:id="rId12">
              <w:r>
                <w:rPr/>
                <w:t>законом</w:t>
              </w:r>
            </w:hyperlink>
            <w:r>
              <w:rPr/>
              <w:t xml:space="preserve"> от 27 июля 2006 г. N 152-ФЗ "О персональных данных", а также необходимых правовых, организационных и технических мер, обеспечивающих их защиту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tc>
      </w:tr>
      <w:tr>
        <w:trPr/>
        <w:tc>
          <w:tcPr>
            <w:tcW w:w="9029" w:type="dxa"/>
            <w:gridSpan w:val="10"/>
            <w:tcBorders/>
          </w:tcPr>
          <w:p>
            <w:pPr>
              <w:pStyle w:val="ConsPlusNormal"/>
              <w:widowControl w:val="false"/>
              <w:ind w:firstLine="283"/>
              <w:jc w:val="both"/>
              <w:rPr/>
            </w:pPr>
            <w:r>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Согласие может быть досрочно отозвано путем подачи письменного заявления в адрес Оператора.</w:t>
            </w:r>
          </w:p>
        </w:tc>
      </w:tr>
      <w:tr>
        <w:trPr/>
        <w:tc>
          <w:tcPr>
            <w:tcW w:w="2901" w:type="dxa"/>
            <w:gridSpan w:val="3"/>
            <w:tcBorders>
              <w:bottom w:val="single" w:sz="4" w:space="0" w:color="000000"/>
            </w:tcBorders>
          </w:tcPr>
          <w:p>
            <w:pPr>
              <w:pStyle w:val="ConsPlusNormal"/>
              <w:widowControl w:val="false"/>
              <w:rPr/>
            </w:pPr>
            <w:r>
              <w:rPr/>
            </w:r>
          </w:p>
        </w:tc>
        <w:tc>
          <w:tcPr>
            <w:tcW w:w="567" w:type="dxa"/>
            <w:tcBorders/>
          </w:tcPr>
          <w:p>
            <w:pPr>
              <w:pStyle w:val="ConsPlusNormal"/>
              <w:widowControl w:val="false"/>
              <w:rPr/>
            </w:pPr>
            <w:r>
              <w:rPr/>
            </w:r>
          </w:p>
        </w:tc>
        <w:tc>
          <w:tcPr>
            <w:tcW w:w="2071" w:type="dxa"/>
            <w:gridSpan w:val="3"/>
            <w:tcBorders>
              <w:bottom w:val="single" w:sz="4" w:space="0" w:color="000000"/>
            </w:tcBorders>
          </w:tcPr>
          <w:p>
            <w:pPr>
              <w:pStyle w:val="ConsPlusNormal"/>
              <w:widowControl w:val="false"/>
              <w:rPr/>
            </w:pPr>
            <w:r>
              <w:rPr/>
            </w:r>
          </w:p>
        </w:tc>
        <w:tc>
          <w:tcPr>
            <w:tcW w:w="485" w:type="dxa"/>
            <w:tcBorders/>
          </w:tcPr>
          <w:p>
            <w:pPr>
              <w:pStyle w:val="ConsPlusNormal"/>
              <w:widowControl w:val="false"/>
              <w:rPr/>
            </w:pPr>
            <w:r>
              <w:rPr/>
            </w:r>
          </w:p>
        </w:tc>
        <w:tc>
          <w:tcPr>
            <w:tcW w:w="3005" w:type="dxa"/>
            <w:gridSpan w:val="2"/>
            <w:tcBorders>
              <w:bottom w:val="single" w:sz="4" w:space="0" w:color="000000"/>
            </w:tcBorders>
          </w:tcPr>
          <w:p>
            <w:pPr>
              <w:pStyle w:val="ConsPlusNormal"/>
              <w:widowControl w:val="false"/>
              <w:rPr/>
            </w:pPr>
            <w:r>
              <w:rPr/>
            </w:r>
          </w:p>
        </w:tc>
      </w:tr>
      <w:tr>
        <w:trPr/>
        <w:tc>
          <w:tcPr>
            <w:tcW w:w="2901" w:type="dxa"/>
            <w:gridSpan w:val="3"/>
            <w:tcBorders>
              <w:top w:val="single" w:sz="4" w:space="0" w:color="000000"/>
            </w:tcBorders>
          </w:tcPr>
          <w:p>
            <w:pPr>
              <w:pStyle w:val="ConsPlusNormal"/>
              <w:widowControl w:val="false"/>
              <w:jc w:val="center"/>
              <w:rPr/>
            </w:pPr>
            <w:r>
              <w:rPr/>
              <w:t>(дата)</w:t>
            </w:r>
          </w:p>
        </w:tc>
        <w:tc>
          <w:tcPr>
            <w:tcW w:w="567" w:type="dxa"/>
            <w:tcBorders/>
          </w:tcPr>
          <w:p>
            <w:pPr>
              <w:pStyle w:val="ConsPlusNormal"/>
              <w:widowControl w:val="false"/>
              <w:rPr/>
            </w:pPr>
            <w:r>
              <w:rPr/>
            </w:r>
          </w:p>
        </w:tc>
        <w:tc>
          <w:tcPr>
            <w:tcW w:w="2071" w:type="dxa"/>
            <w:gridSpan w:val="3"/>
            <w:tcBorders>
              <w:top w:val="single" w:sz="4" w:space="0" w:color="000000"/>
            </w:tcBorders>
          </w:tcPr>
          <w:p>
            <w:pPr>
              <w:pStyle w:val="ConsPlusNormal"/>
              <w:widowControl w:val="false"/>
              <w:jc w:val="center"/>
              <w:rPr/>
            </w:pPr>
            <w:r>
              <w:rPr/>
              <w:t>(подпись)</w:t>
            </w:r>
          </w:p>
        </w:tc>
        <w:tc>
          <w:tcPr>
            <w:tcW w:w="485" w:type="dxa"/>
            <w:tcBorders/>
          </w:tcPr>
          <w:p>
            <w:pPr>
              <w:pStyle w:val="ConsPlusNormal"/>
              <w:widowControl w:val="false"/>
              <w:rPr/>
            </w:pPr>
            <w:r>
              <w:rPr/>
            </w:r>
          </w:p>
        </w:tc>
        <w:tc>
          <w:tcPr>
            <w:tcW w:w="3005" w:type="dxa"/>
            <w:gridSpan w:val="2"/>
            <w:tcBorders>
              <w:top w:val="single" w:sz="4" w:space="0" w:color="000000"/>
            </w:tcBorders>
          </w:tcPr>
          <w:p>
            <w:pPr>
              <w:pStyle w:val="ConsPlusNormal"/>
              <w:widowControl w:val="false"/>
              <w:jc w:val="center"/>
              <w:rPr/>
            </w:pPr>
            <w:r>
              <w:rPr/>
              <w:t>(расшифровка подписи)</w:t>
            </w:r>
          </w:p>
        </w:tc>
      </w:tr>
    </w:tbl>
    <w:p>
      <w:pPr>
        <w:pStyle w:val="ConsPlusNormal"/>
        <w:jc w:val="both"/>
        <w:rPr/>
      </w:pPr>
      <w:r>
        <w:rPr/>
      </w:r>
    </w:p>
    <w:p>
      <w:pPr>
        <w:pStyle w:val="ConsPlusNormal"/>
        <w:jc w:val="both"/>
        <w:rPr/>
      </w:pPr>
      <w:r>
        <w:rPr/>
      </w:r>
    </w:p>
    <w:p>
      <w:pPr>
        <w:pStyle w:val="Normal"/>
        <w:spacing w:lineRule="auto" w:line="240" w:before="0" w:after="0"/>
        <w:rPr>
          <w:rFonts w:ascii="Arial" w:hAnsi="Arial" w:eastAsia="" w:cs="Arial" w:eastAsiaTheme="minorEastAsia"/>
          <w:sz w:val="20"/>
          <w:lang w:eastAsia="ru-RU"/>
        </w:rPr>
      </w:pPr>
      <w:r>
        <w:rPr>
          <w:rFonts w:eastAsia="" w:cs="Arial" w:eastAsiaTheme="minorEastAsia" w:ascii="Arial" w:hAnsi="Arial"/>
          <w:sz w:val="20"/>
          <w:lang w:eastAsia="ru-RU"/>
        </w:rPr>
      </w:r>
      <w:r>
        <w:br w:type="page"/>
      </w:r>
    </w:p>
    <w:p>
      <w:pPr>
        <w:pStyle w:val="ConsPlusNormal"/>
        <w:numPr>
          <w:ilvl w:val="0"/>
          <w:numId w:val="0"/>
        </w:numPr>
        <w:ind w:left="0" w:hanging="0"/>
        <w:jc w:val="right"/>
        <w:outlineLvl w:val="1"/>
        <w:rPr/>
      </w:pPr>
      <w:r>
        <w:rPr/>
        <w:t>Приложение N 3.1.</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spacing w:before="0" w:after="1"/>
        <w:rPr/>
      </w:pPr>
      <w:r>
        <w:rPr/>
      </w:r>
    </w:p>
    <w:p>
      <w:pPr>
        <w:pStyle w:val="ConsPlusNormal"/>
        <w:jc w:val="both"/>
        <w:rPr/>
      </w:pPr>
      <w:r>
        <w:rPr/>
      </w:r>
    </w:p>
    <w:p>
      <w:pPr>
        <w:pStyle w:val="ConsPlusNonformat"/>
        <w:jc w:val="center"/>
        <w:rPr/>
      </w:pPr>
      <w:r>
        <w:rPr/>
        <w:t xml:space="preserve">  </w:t>
      </w:r>
      <w:r>
        <w:rPr>
          <w:rFonts w:cs="Arial" w:ascii="Arial" w:hAnsi="Arial"/>
          <w:b/>
        </w:rPr>
        <w:t>Договор-поручение N</w:t>
      </w:r>
      <w:r>
        <w:rPr>
          <w:rFonts w:cs="Arial" w:ascii="Arial" w:hAnsi="Arial"/>
        </w:rPr>
        <w:t xml:space="preserve"> ____</w:t>
      </w:r>
    </w:p>
    <w:p>
      <w:pPr>
        <w:pStyle w:val="ConsPlusNonformat"/>
        <w:jc w:val="center"/>
        <w:rPr>
          <w:rFonts w:ascii="Arial" w:hAnsi="Arial" w:cs="Arial"/>
        </w:rPr>
      </w:pPr>
      <w:r>
        <w:rPr>
          <w:rFonts w:cs="Arial" w:ascii="Arial" w:hAnsi="Arial"/>
          <w:b/>
        </w:rPr>
        <w:t>на обработку персональных данных третьим лицом</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г. Чебоксары                                                                                                      _____ _________ 20___ г.</w:t>
      </w:r>
    </w:p>
    <w:p>
      <w:pPr>
        <w:pStyle w:val="ConsPlusNonformat"/>
        <w:jc w:val="both"/>
        <w:rPr>
          <w:rFonts w:ascii="Arial" w:hAnsi="Arial" w:cs="Arial"/>
        </w:rPr>
      </w:pPr>
      <w:r>
        <w:rPr>
          <w:rFonts w:cs="Arial" w:ascii="Arial" w:hAnsi="Arial"/>
        </w:rPr>
      </w:r>
    </w:p>
    <w:p>
      <w:pPr>
        <w:pStyle w:val="ConsPlusNonformat"/>
        <w:ind w:firstLine="426"/>
        <w:jc w:val="both"/>
        <w:rPr>
          <w:rFonts w:ascii="Arial" w:hAnsi="Arial" w:cs="Arial"/>
        </w:rPr>
      </w:pPr>
      <w:r>
        <w:rPr>
          <w:rFonts w:cs="Arial" w:ascii="Arial" w:hAnsi="Arial"/>
        </w:rPr>
        <w:t>_______________________________________________, именуемый в дальнейшем "Доверитель", в лице ________________________________________, действующего на основании __________________________________________, с одной стороны, и казенное учреждение Чувашской Республики "Республиканский центр бухгалтерского учета" в лице директора ___________________________, действующего на основании Устава, утвержденного приказом Министерства финансов Чувашской Республики от ____________  N  _____,  именуемое в дальнейшем "Поверенный", с другой стороны, а вместе именуемые "Стороны", заключили договор о нижеследующем:</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1. Предмет Договора</w:t>
      </w:r>
    </w:p>
    <w:p>
      <w:pPr>
        <w:pStyle w:val="ConsPlusNonformat"/>
        <w:jc w:val="both"/>
        <w:rPr>
          <w:rFonts w:ascii="Arial" w:hAnsi="Arial" w:cs="Arial"/>
        </w:rPr>
      </w:pPr>
      <w:r>
        <w:rPr>
          <w:rFonts w:cs="Arial" w:ascii="Arial" w:hAnsi="Arial"/>
        </w:rPr>
      </w:r>
    </w:p>
    <w:p>
      <w:pPr>
        <w:pStyle w:val="ConsPlusNonformat"/>
        <w:ind w:firstLine="426"/>
        <w:jc w:val="both"/>
        <w:rPr>
          <w:rFonts w:ascii="Arial" w:hAnsi="Arial" w:cs="Arial"/>
        </w:rPr>
      </w:pPr>
      <w:r>
        <w:rPr>
          <w:rFonts w:cs="Arial" w:ascii="Arial" w:hAnsi="Arial"/>
        </w:rPr>
        <w:t>1.1. Поверенный обязуется по поручению и от имени Доверителя совершить действия по обработке персональных данных сотрудников Доверителя и иных физических лиц (далее - субъект персональных данных), которые включают их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целях начисления выплат по оплате труда и иных выплат, а также связанных с ними обязательных платежей в бюджеты бюджетной системы Российской Федерации и их перечисления, ведения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по обеспечению представления такой отчетности в соответствующие государственные (муниципальные) органы (далее — бухгалтерское обслуживание) в соответствии с договором между бюджетными, автономными учреждениями Чувашской Республики и казенным учреждением Чувашской Республики «Республиканский центр бухгалтерского учета» на оказание услуг по ведению бухгалтерского учета, включая составление и представление бухгалтерской (финансовой) отчетности, иной обязательной отчетности, формируемой на основании данных бухгалтерского учета, обеспечению представления такой отчетности в соответствующие государственные (муниципальные) органы с использованием средств автоматизации (далее - Договор).</w:t>
      </w:r>
    </w:p>
    <w:p>
      <w:pPr>
        <w:pStyle w:val="ConsPlusNonformat"/>
        <w:ind w:firstLine="426"/>
        <w:jc w:val="both"/>
        <w:rPr>
          <w:rFonts w:ascii="Arial" w:hAnsi="Arial" w:cs="Arial"/>
        </w:rPr>
      </w:pPr>
      <w:r>
        <w:rPr>
          <w:rFonts w:cs="Arial" w:ascii="Arial" w:hAnsi="Arial"/>
        </w:rPr>
        <w:t>1.2. Состав персональных данных, подлежащих обработке, включает:</w:t>
      </w:r>
    </w:p>
    <w:p>
      <w:pPr>
        <w:pStyle w:val="ConsPlusNonformat"/>
        <w:jc w:val="both"/>
        <w:rPr>
          <w:rFonts w:ascii="Arial" w:hAnsi="Arial" w:cs="Arial"/>
        </w:rPr>
      </w:pPr>
      <w:r>
        <w:rPr>
          <w:rFonts w:cs="Arial" w:ascii="Arial" w:hAnsi="Arial"/>
        </w:rPr>
        <w:t>фамилия, имя, отчество (последнее -  при  наличии) (в том  числе предыдущие фамилии, имена и (или) отчества (последнее при наличии), в случае их изменения;</w:t>
      </w:r>
    </w:p>
    <w:p>
      <w:pPr>
        <w:pStyle w:val="ConsPlusNonformat"/>
        <w:jc w:val="both"/>
        <w:rPr>
          <w:rFonts w:ascii="Arial" w:hAnsi="Arial" w:cs="Arial"/>
        </w:rPr>
      </w:pPr>
      <w:r>
        <w:rPr>
          <w:rFonts w:cs="Arial" w:ascii="Arial" w:hAnsi="Arial"/>
        </w:rPr>
        <w:t>число, месяц, год рождения;</w:t>
      </w:r>
    </w:p>
    <w:p>
      <w:pPr>
        <w:pStyle w:val="ConsPlusNonformat"/>
        <w:jc w:val="both"/>
        <w:rPr>
          <w:rFonts w:ascii="Arial" w:hAnsi="Arial" w:cs="Arial"/>
        </w:rPr>
      </w:pPr>
      <w:r>
        <w:rPr>
          <w:rFonts w:cs="Arial" w:ascii="Arial" w:hAnsi="Arial"/>
        </w:rPr>
        <w:t>место рождения;</w:t>
      </w:r>
    </w:p>
    <w:p>
      <w:pPr>
        <w:pStyle w:val="ConsPlusNonformat"/>
        <w:jc w:val="both"/>
        <w:rPr>
          <w:rFonts w:ascii="Arial" w:hAnsi="Arial" w:cs="Arial"/>
        </w:rPr>
      </w:pPr>
      <w:r>
        <w:rPr>
          <w:rFonts w:cs="Arial" w:ascii="Arial" w:hAnsi="Arial"/>
        </w:rPr>
        <w:t>пол;</w:t>
      </w:r>
    </w:p>
    <w:p>
      <w:pPr>
        <w:pStyle w:val="ConsPlusNonformat"/>
        <w:jc w:val="both"/>
        <w:rPr>
          <w:rFonts w:ascii="Arial" w:hAnsi="Arial" w:cs="Arial"/>
        </w:rPr>
      </w:pPr>
      <w:r>
        <w:rPr>
          <w:rFonts w:cs="Arial" w:ascii="Arial" w:hAnsi="Arial"/>
        </w:rPr>
        <w:t>информация о гражданстве (в том числе предыдущие гражданства, иные гражданства);</w:t>
      </w:r>
    </w:p>
    <w:p>
      <w:pPr>
        <w:pStyle w:val="ConsPlusNonformat"/>
        <w:jc w:val="both"/>
        <w:rPr>
          <w:rFonts w:ascii="Arial" w:hAnsi="Arial" w:cs="Arial"/>
        </w:rPr>
      </w:pPr>
      <w:r>
        <w:rPr>
          <w:rFonts w:cs="Arial" w:ascii="Arial" w:hAnsi="Arial"/>
        </w:rPr>
        <w:t>адрес места жительства (адрес регистрации, фактического проживания);</w:t>
      </w:r>
    </w:p>
    <w:p>
      <w:pPr>
        <w:pStyle w:val="ConsPlusNonformat"/>
        <w:jc w:val="both"/>
        <w:rPr>
          <w:rFonts w:ascii="Arial" w:hAnsi="Arial" w:cs="Arial"/>
        </w:rPr>
      </w:pPr>
      <w:r>
        <w:rPr>
          <w:rFonts w:cs="Arial" w:ascii="Arial" w:hAnsi="Arial"/>
        </w:rPr>
        <w:t>контактные телефоны (или иной вид связи);</w:t>
      </w:r>
    </w:p>
    <w:p>
      <w:pPr>
        <w:pStyle w:val="ConsPlusNonformat"/>
        <w:jc w:val="both"/>
        <w:rPr>
          <w:rFonts w:ascii="Arial" w:hAnsi="Arial" w:cs="Arial"/>
        </w:rPr>
      </w:pPr>
      <w:r>
        <w:rPr>
          <w:rFonts w:cs="Arial" w:ascii="Arial" w:hAnsi="Arial"/>
        </w:rPr>
        <w:t>вид, серия, номер документа, удостоверяющего личность, наименование органа, выдавшего его (в том числе код подразделения), дата выдачи;</w:t>
      </w:r>
    </w:p>
    <w:p>
      <w:pPr>
        <w:pStyle w:val="ConsPlusNonformat"/>
        <w:jc w:val="both"/>
        <w:rPr>
          <w:rFonts w:ascii="Arial" w:hAnsi="Arial" w:cs="Arial"/>
        </w:rPr>
      </w:pPr>
      <w:r>
        <w:rPr>
          <w:rFonts w:cs="Arial" w:ascii="Arial" w:hAnsi="Arial"/>
        </w:rPr>
        <w:t>ИНН;</w:t>
      </w:r>
    </w:p>
    <w:p>
      <w:pPr>
        <w:pStyle w:val="ConsPlusNonformat"/>
        <w:jc w:val="both"/>
        <w:rPr>
          <w:rFonts w:ascii="Arial" w:hAnsi="Arial" w:cs="Arial"/>
        </w:rPr>
      </w:pPr>
      <w:r>
        <w:rPr>
          <w:rFonts w:cs="Arial" w:ascii="Arial" w:hAnsi="Arial"/>
        </w:rPr>
        <w:t>СНИЛС;</w:t>
      </w:r>
    </w:p>
    <w:p>
      <w:pPr>
        <w:pStyle w:val="ConsPlusNonformat"/>
        <w:jc w:val="both"/>
        <w:rPr>
          <w:rFonts w:ascii="Arial" w:hAnsi="Arial" w:cs="Arial"/>
        </w:rPr>
      </w:pPr>
      <w:r>
        <w:rPr>
          <w:rFonts w:cs="Arial" w:ascii="Arial" w:hAnsi="Arial"/>
        </w:rPr>
        <w:t>реквизиты документа об образовании;</w:t>
      </w:r>
    </w:p>
    <w:p>
      <w:pPr>
        <w:pStyle w:val="ConsPlusNonformat"/>
        <w:jc w:val="both"/>
        <w:rPr>
          <w:rFonts w:ascii="Arial" w:hAnsi="Arial" w:cs="Arial"/>
        </w:rPr>
      </w:pPr>
      <w:r>
        <w:rPr>
          <w:rFonts w:cs="Arial" w:ascii="Arial" w:hAnsi="Arial"/>
        </w:rPr>
        <w:t>сведения об образовании;</w:t>
      </w:r>
    </w:p>
    <w:p>
      <w:pPr>
        <w:pStyle w:val="ConsPlusNonformat"/>
        <w:jc w:val="both"/>
        <w:rPr>
          <w:rFonts w:ascii="Arial" w:hAnsi="Arial" w:cs="Arial"/>
        </w:rPr>
      </w:pPr>
      <w:r>
        <w:rPr>
          <w:rFonts w:cs="Arial" w:ascii="Arial" w:hAnsi="Arial"/>
        </w:rPr>
        <w:t>направление подготовки или специальность по документу об образовании;</w:t>
      </w:r>
    </w:p>
    <w:p>
      <w:pPr>
        <w:pStyle w:val="ConsPlusNonformat"/>
        <w:jc w:val="both"/>
        <w:rPr>
          <w:rFonts w:ascii="Arial" w:hAnsi="Arial" w:cs="Arial"/>
        </w:rPr>
      </w:pPr>
      <w:r>
        <w:rPr>
          <w:rFonts w:cs="Arial" w:ascii="Arial" w:hAnsi="Arial"/>
        </w:rPr>
        <w:t>квалификация по документу об образовании;</w:t>
      </w:r>
    </w:p>
    <w:p>
      <w:pPr>
        <w:pStyle w:val="ConsPlusNonformat"/>
        <w:jc w:val="both"/>
        <w:rPr>
          <w:rFonts w:ascii="Arial" w:hAnsi="Arial" w:cs="Arial"/>
        </w:rPr>
      </w:pPr>
      <w:r>
        <w:rPr>
          <w:rFonts w:cs="Arial" w:ascii="Arial" w:hAnsi="Arial"/>
        </w:rPr>
        <w:t>сведения о послевузовском профессиональном образовании;</w:t>
      </w:r>
    </w:p>
    <w:p>
      <w:pPr>
        <w:pStyle w:val="ConsPlusNonformat"/>
        <w:jc w:val="both"/>
        <w:rPr>
          <w:rFonts w:ascii="Arial" w:hAnsi="Arial" w:cs="Arial"/>
        </w:rPr>
      </w:pPr>
      <w:r>
        <w:rPr>
          <w:rFonts w:cs="Arial" w:ascii="Arial" w:hAnsi="Arial"/>
        </w:rPr>
        <w:t>сведения о повышении квалификации;</w:t>
      </w:r>
    </w:p>
    <w:p>
      <w:pPr>
        <w:pStyle w:val="ConsPlusNonformat"/>
        <w:jc w:val="both"/>
        <w:rPr>
          <w:rFonts w:ascii="Arial" w:hAnsi="Arial" w:cs="Arial"/>
        </w:rPr>
      </w:pPr>
      <w:r>
        <w:rPr>
          <w:rFonts w:cs="Arial" w:ascii="Arial" w:hAnsi="Arial"/>
        </w:rPr>
        <w:t>профессия;</w:t>
      </w:r>
    </w:p>
    <w:p>
      <w:pPr>
        <w:pStyle w:val="ConsPlusNonformat"/>
        <w:jc w:val="both"/>
        <w:rPr>
          <w:rFonts w:ascii="Arial" w:hAnsi="Arial" w:cs="Arial"/>
        </w:rPr>
      </w:pPr>
      <w:r>
        <w:rPr>
          <w:rFonts w:cs="Arial" w:ascii="Arial" w:hAnsi="Arial"/>
        </w:rPr>
        <w:t>сведения о профессиональной переподготовке;</w:t>
      </w:r>
    </w:p>
    <w:p>
      <w:pPr>
        <w:pStyle w:val="ConsPlusNonformat"/>
        <w:jc w:val="both"/>
        <w:rPr>
          <w:rFonts w:ascii="Arial" w:hAnsi="Arial" w:cs="Arial"/>
        </w:rPr>
      </w:pPr>
      <w:r>
        <w:rPr>
          <w:rFonts w:cs="Arial" w:ascii="Arial" w:hAnsi="Arial"/>
        </w:rPr>
        <w:t>должность;</w:t>
      </w:r>
    </w:p>
    <w:p>
      <w:pPr>
        <w:pStyle w:val="ConsPlusNonformat"/>
        <w:jc w:val="both"/>
        <w:rPr>
          <w:rFonts w:ascii="Arial" w:hAnsi="Arial" w:cs="Arial"/>
        </w:rPr>
      </w:pPr>
      <w:r>
        <w:rPr>
          <w:rFonts w:cs="Arial" w:ascii="Arial" w:hAnsi="Arial"/>
        </w:rPr>
        <w:t>сведения о трудовой деятельности;</w:t>
      </w:r>
    </w:p>
    <w:p>
      <w:pPr>
        <w:pStyle w:val="ConsPlusNonformat"/>
        <w:jc w:val="both"/>
        <w:rPr>
          <w:rFonts w:ascii="Arial" w:hAnsi="Arial" w:cs="Arial"/>
        </w:rPr>
      </w:pPr>
      <w:r>
        <w:rPr>
          <w:rFonts w:cs="Arial" w:ascii="Arial" w:hAnsi="Arial"/>
        </w:rPr>
        <w:t>сведения о государственных наградах, иных наградах и знаках отличия;</w:t>
      </w:r>
    </w:p>
    <w:p>
      <w:pPr>
        <w:pStyle w:val="ConsPlusNonformat"/>
        <w:jc w:val="both"/>
        <w:rPr>
          <w:rFonts w:ascii="Arial" w:hAnsi="Arial" w:cs="Arial"/>
        </w:rPr>
      </w:pPr>
      <w:r>
        <w:rPr>
          <w:rFonts w:cs="Arial" w:ascii="Arial" w:hAnsi="Arial"/>
        </w:rPr>
        <w:t>семейное положение;</w:t>
      </w:r>
    </w:p>
    <w:p>
      <w:pPr>
        <w:pStyle w:val="ConsPlusNonformat"/>
        <w:jc w:val="both"/>
        <w:rPr>
          <w:rFonts w:ascii="Arial" w:hAnsi="Arial" w:cs="Arial"/>
        </w:rPr>
      </w:pPr>
      <w:r>
        <w:rPr>
          <w:rFonts w:cs="Arial" w:ascii="Arial" w:hAnsi="Arial"/>
        </w:rPr>
        <w:t>сведения о составе семьи и сведения о близких родственниках (в том числе бывших);</w:t>
      </w:r>
    </w:p>
    <w:p>
      <w:pPr>
        <w:pStyle w:val="ConsPlusNonformat"/>
        <w:jc w:val="both"/>
        <w:rPr>
          <w:rFonts w:ascii="Arial" w:hAnsi="Arial" w:cs="Arial"/>
        </w:rPr>
      </w:pPr>
      <w:r>
        <w:rPr>
          <w:rFonts w:cs="Arial" w:ascii="Arial" w:hAnsi="Arial"/>
        </w:rPr>
        <w:t>данные об отпусках;</w:t>
      </w:r>
    </w:p>
    <w:p>
      <w:pPr>
        <w:pStyle w:val="ConsPlusNonformat"/>
        <w:jc w:val="both"/>
        <w:rPr>
          <w:rFonts w:ascii="Arial" w:hAnsi="Arial" w:cs="Arial"/>
        </w:rPr>
      </w:pPr>
      <w:r>
        <w:rPr>
          <w:rFonts w:cs="Arial" w:ascii="Arial" w:hAnsi="Arial"/>
        </w:rPr>
        <w:t>данные о командировках;</w:t>
      </w:r>
    </w:p>
    <w:p>
      <w:pPr>
        <w:pStyle w:val="ConsPlusNonformat"/>
        <w:jc w:val="both"/>
        <w:rPr>
          <w:rFonts w:ascii="Arial" w:hAnsi="Arial" w:cs="Arial"/>
        </w:rPr>
      </w:pPr>
      <w:r>
        <w:rPr>
          <w:rFonts w:cs="Arial" w:ascii="Arial" w:hAnsi="Arial"/>
        </w:rPr>
        <w:t>сведения о доходах;</w:t>
      </w:r>
    </w:p>
    <w:p>
      <w:pPr>
        <w:pStyle w:val="ConsPlusNonformat"/>
        <w:jc w:val="both"/>
        <w:rPr>
          <w:rFonts w:ascii="Arial" w:hAnsi="Arial" w:cs="Arial"/>
        </w:rPr>
      </w:pPr>
      <w:r>
        <w:rPr>
          <w:rFonts w:cs="Arial" w:ascii="Arial" w:hAnsi="Arial"/>
        </w:rPr>
        <w:t>сведения о вычетах;</w:t>
      </w:r>
    </w:p>
    <w:p>
      <w:pPr>
        <w:pStyle w:val="ConsPlusNonformat"/>
        <w:jc w:val="both"/>
        <w:rPr>
          <w:rFonts w:ascii="Arial" w:hAnsi="Arial" w:cs="Arial"/>
        </w:rPr>
      </w:pPr>
      <w:r>
        <w:rPr>
          <w:rFonts w:cs="Arial" w:ascii="Arial" w:hAnsi="Arial"/>
        </w:rPr>
        <w:t>сведения о налогах;</w:t>
      </w:r>
    </w:p>
    <w:p>
      <w:pPr>
        <w:pStyle w:val="ConsPlusNonformat"/>
        <w:jc w:val="both"/>
        <w:rPr>
          <w:rFonts w:ascii="Arial" w:hAnsi="Arial" w:cs="Arial"/>
        </w:rPr>
      </w:pPr>
      <w:r>
        <w:rPr>
          <w:rFonts w:cs="Arial" w:ascii="Arial" w:hAnsi="Arial"/>
        </w:rPr>
        <w:t>сведения о страховых взносах;</w:t>
      </w:r>
    </w:p>
    <w:p>
      <w:pPr>
        <w:pStyle w:val="ConsPlusNonformat"/>
        <w:jc w:val="both"/>
        <w:rPr>
          <w:rFonts w:ascii="Arial" w:hAnsi="Arial" w:cs="Arial"/>
        </w:rPr>
      </w:pPr>
      <w:r>
        <w:rPr>
          <w:rFonts w:cs="Arial" w:ascii="Arial" w:hAnsi="Arial"/>
        </w:rPr>
        <w:t>сведения о взысканиях;</w:t>
      </w:r>
    </w:p>
    <w:p>
      <w:pPr>
        <w:pStyle w:val="ConsPlusNonformat"/>
        <w:spacing w:lineRule="auto" w:line="240" w:before="0" w:after="0"/>
        <w:jc w:val="both"/>
        <w:rPr>
          <w:rFonts w:ascii="Arial" w:hAnsi="Arial" w:cs="Arial"/>
        </w:rPr>
      </w:pPr>
      <w:r>
        <w:rPr>
          <w:rFonts w:cs="Arial" w:ascii="Arial" w:hAnsi="Arial"/>
        </w:rPr>
        <w:t>сведения об удержаниях из доходов;</w:t>
      </w:r>
    </w:p>
    <w:p>
      <w:pPr>
        <w:pStyle w:val="Style23"/>
        <w:spacing w:lineRule="auto" w:line="240" w:before="0" w:after="0"/>
        <w:ind w:hanging="0"/>
        <w:rPr/>
      </w:pPr>
      <w:r>
        <w:rPr>
          <w:rFonts w:eastAsia="" w:cs="Arial" w:ascii="Arial" w:hAnsi="Arial" w:eastAsiaTheme="minorEastAsia"/>
          <w:color w:val="auto"/>
          <w:kern w:val="0"/>
          <w:sz w:val="20"/>
          <w:szCs w:val="22"/>
          <w:lang w:val="ru-RU" w:eastAsia="ru-RU" w:bidi="ar-SA"/>
        </w:rPr>
        <w:t>сведения, содержащиеся в водительском удостоверении;</w:t>
      </w:r>
    </w:p>
    <w:p>
      <w:pPr>
        <w:pStyle w:val="ConsPlusNonformat"/>
        <w:spacing w:lineRule="auto" w:line="240" w:before="0" w:after="0"/>
        <w:jc w:val="both"/>
        <w:rPr/>
      </w:pPr>
      <w:r>
        <w:rPr>
          <w:rFonts w:cs="Arial" w:ascii="Arial" w:hAnsi="Arial"/>
        </w:rPr>
        <w:t>сведения,  указанные в свидетельстве о государственной регистрации акта гражданского состояния;</w:t>
      </w:r>
    </w:p>
    <w:p>
      <w:pPr>
        <w:pStyle w:val="ConsPlusNonformat"/>
        <w:spacing w:lineRule="auto" w:line="240" w:before="0" w:after="0"/>
        <w:jc w:val="both"/>
        <w:rPr/>
      </w:pPr>
      <w:r>
        <w:rPr>
          <w:rFonts w:cs="Arial" w:ascii="Arial" w:hAnsi="Arial"/>
        </w:rPr>
        <w:t>реквизиты, дата выдачи свидетельства о государственной регистрации акта гражданского состояния;</w:t>
      </w:r>
    </w:p>
    <w:p>
      <w:pPr>
        <w:pStyle w:val="ConsPlusNonformat"/>
        <w:jc w:val="both"/>
        <w:rPr>
          <w:rFonts w:ascii="Arial" w:hAnsi="Arial" w:cs="Arial"/>
        </w:rPr>
      </w:pPr>
      <w:r>
        <w:rPr>
          <w:rFonts w:cs="Arial" w:ascii="Arial" w:hAnsi="Arial"/>
        </w:rPr>
        <w:t>данные листка нетрудоспособности;</w:t>
      </w:r>
    </w:p>
    <w:p>
      <w:pPr>
        <w:pStyle w:val="ConsPlusNonformat"/>
        <w:jc w:val="both"/>
        <w:rPr>
          <w:rFonts w:ascii="Arial" w:hAnsi="Arial" w:cs="Arial"/>
        </w:rPr>
      </w:pPr>
      <w:r>
        <w:rPr>
          <w:rFonts w:cs="Arial" w:ascii="Arial" w:hAnsi="Arial"/>
        </w:rPr>
        <w:t>сведения об инвалидности;</w:t>
      </w:r>
    </w:p>
    <w:p>
      <w:pPr>
        <w:pStyle w:val="ConsPlusNonformat"/>
        <w:jc w:val="both"/>
        <w:rPr>
          <w:rFonts w:ascii="Arial" w:hAnsi="Arial" w:cs="Arial"/>
        </w:rPr>
      </w:pPr>
      <w:r>
        <w:rPr>
          <w:rFonts w:cs="Arial" w:ascii="Arial" w:hAnsi="Arial"/>
        </w:rPr>
        <w:t>информация, содержащаяся в трудовом договоре, дополнительных соглашениях к трудовому договору;</w:t>
      </w:r>
    </w:p>
    <w:p>
      <w:pPr>
        <w:pStyle w:val="ConsPlusNonformat"/>
        <w:jc w:val="both"/>
        <w:rPr>
          <w:rFonts w:ascii="Arial" w:hAnsi="Arial" w:cs="Arial"/>
        </w:rPr>
      </w:pPr>
      <w:r>
        <w:rPr>
          <w:rFonts w:cs="Arial" w:ascii="Arial" w:hAnsi="Arial"/>
        </w:rPr>
        <w:t>банковские реквизиты;</w:t>
      </w:r>
    </w:p>
    <w:p>
      <w:pPr>
        <w:pStyle w:val="ConsPlusNonformat"/>
        <w:jc w:val="both"/>
        <w:rPr>
          <w:rFonts w:ascii="Arial" w:hAnsi="Arial" w:cs="Arial"/>
        </w:rPr>
      </w:pPr>
      <w:r>
        <w:rPr>
          <w:rFonts w:cs="Arial" w:ascii="Arial" w:hAnsi="Arial"/>
        </w:rPr>
        <w:t>сумма;</w:t>
      </w:r>
    </w:p>
    <w:p>
      <w:pPr>
        <w:pStyle w:val="ConsPlusNonformat"/>
        <w:jc w:val="both"/>
        <w:rPr>
          <w:rFonts w:ascii="Arial" w:hAnsi="Arial" w:cs="Arial"/>
        </w:rPr>
      </w:pPr>
      <w:r>
        <w:rPr>
          <w:rFonts w:eastAsia="" w:cs="Arial" w:ascii="Arial" w:hAnsi="Arial" w:eastAsiaTheme="minorEastAsia"/>
          <w:color w:val="auto"/>
          <w:kern w:val="0"/>
          <w:sz w:val="20"/>
          <w:szCs w:val="22"/>
          <w:lang w:val="ru-RU" w:eastAsia="ru-RU" w:bidi="ar-SA"/>
        </w:rPr>
        <w:t>назначение платежа;</w:t>
      </w:r>
    </w:p>
    <w:p>
      <w:pPr>
        <w:pStyle w:val="ConsPlusNonformat"/>
        <w:jc w:val="both"/>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стаж работы (общий, страховой);</w:t>
      </w:r>
    </w:p>
    <w:p>
      <w:pPr>
        <w:pStyle w:val="ConsPlusNonformat"/>
        <w:jc w:val="both"/>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сведения, указанные в исполнительных листах;</w:t>
      </w:r>
    </w:p>
    <w:p>
      <w:pPr>
        <w:pStyle w:val="Style23"/>
        <w:numPr>
          <w:ilvl w:val="0"/>
          <w:numId w:val="0"/>
        </w:numPr>
        <w:spacing w:lineRule="auto" w:line="240" w:before="0" w:after="0"/>
        <w:ind w:left="0" w:hanging="0"/>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сведения, указанные в постановлении судебного пристава;</w:t>
      </w:r>
    </w:p>
    <w:p>
      <w:pPr>
        <w:pStyle w:val="Style23"/>
        <w:numPr>
          <w:ilvl w:val="0"/>
          <w:numId w:val="0"/>
        </w:numPr>
        <w:spacing w:lineRule="auto" w:line="240" w:before="0" w:after="0"/>
        <w:ind w:left="0" w:hanging="0"/>
        <w:rPr>
          <w:rFonts w:ascii="Arial" w:hAnsi="Arial" w:eastAsia="" w:cs="Arial" w:eastAsiaTheme="minorEastAsia"/>
          <w:color w:val="auto"/>
          <w:kern w:val="0"/>
          <w:sz w:val="20"/>
          <w:szCs w:val="22"/>
          <w:lang w:val="ru-RU" w:eastAsia="ru-RU" w:bidi="ar-SA"/>
        </w:rPr>
      </w:pPr>
      <w:r>
        <w:rPr>
          <w:rFonts w:eastAsia="" w:cs="Arial" w:ascii="Arial" w:hAnsi="Arial" w:eastAsiaTheme="minorEastAsia"/>
          <w:color w:val="auto"/>
          <w:kern w:val="0"/>
          <w:sz w:val="20"/>
          <w:szCs w:val="22"/>
          <w:lang w:val="ru-RU" w:eastAsia="ru-RU" w:bidi="ar-SA"/>
        </w:rPr>
        <w:t>сведения, указанные в решении суда;</w:t>
      </w:r>
    </w:p>
    <w:p>
      <w:pPr>
        <w:pStyle w:val="ConsPlusNonformat"/>
        <w:spacing w:lineRule="auto" w:line="240" w:before="0" w:after="0"/>
        <w:jc w:val="both"/>
        <w:rPr>
          <w:rFonts w:ascii="Arial" w:hAnsi="Arial" w:cs="Arial"/>
        </w:rPr>
      </w:pPr>
      <w:r>
        <w:rPr>
          <w:rFonts w:cs="Arial" w:ascii="Arial" w:hAnsi="Arial"/>
        </w:rPr>
        <w:t>иные сведения, строго необходимые в целях выполнения требований трудового и налогового законодательства Российской Федерации, а также для осуществления функций, полномочий и обязанностей Доверителя.</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2. Обязанности сторон Договора</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2.1. Доверитель обязан:</w:t>
      </w:r>
    </w:p>
    <w:p>
      <w:pPr>
        <w:pStyle w:val="ConsPlusNonformat"/>
        <w:jc w:val="both"/>
        <w:rPr>
          <w:rFonts w:ascii="Arial" w:hAnsi="Arial" w:cs="Arial"/>
        </w:rPr>
      </w:pPr>
      <w:r>
        <w:rPr>
          <w:rFonts w:cs="Arial" w:ascii="Arial" w:hAnsi="Arial"/>
        </w:rPr>
        <w:t xml:space="preserve">    </w:t>
      </w:r>
      <w:r>
        <w:rPr>
          <w:rFonts w:cs="Arial" w:ascii="Arial" w:hAnsi="Arial"/>
        </w:rPr>
        <w:t>2.1.1. Получать согласие субъекта персональных данных на передачу персональных данных, на поручение обработки персональных данных Поверенному.</w:t>
      </w:r>
    </w:p>
    <w:p>
      <w:pPr>
        <w:pStyle w:val="ConsPlusNonformat"/>
        <w:jc w:val="both"/>
        <w:rPr>
          <w:rFonts w:ascii="Arial" w:hAnsi="Arial" w:cs="Arial"/>
        </w:rPr>
      </w:pPr>
      <w:r>
        <w:rPr>
          <w:rFonts w:cs="Arial" w:ascii="Arial" w:hAnsi="Arial"/>
        </w:rPr>
        <w:t xml:space="preserve">    </w:t>
      </w:r>
      <w:r>
        <w:rPr>
          <w:rFonts w:cs="Arial" w:ascii="Arial" w:hAnsi="Arial"/>
        </w:rPr>
        <w:t>2.1.2. Осуществлять своевременную обработку обращений и запросов субъектов персональных данных или их представителей по вопросам обработки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2.1.3. Обеспечить при обработке персональных данных их точность, достаточность, а в необходимых случаях и актуальность по отношению к целям обработки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2.1.4. Передать Поверенному персональные данные, необходимые для исполнения Поручения.</w:t>
      </w:r>
    </w:p>
    <w:p>
      <w:pPr>
        <w:pStyle w:val="ConsPlusNonformat"/>
        <w:jc w:val="both"/>
        <w:rPr>
          <w:rFonts w:ascii="Arial" w:hAnsi="Arial" w:cs="Arial"/>
        </w:rPr>
      </w:pPr>
      <w:r>
        <w:rPr>
          <w:rFonts w:cs="Arial" w:ascii="Arial" w:hAnsi="Arial"/>
        </w:rPr>
        <w:t xml:space="preserve">    </w:t>
      </w:r>
      <w:r>
        <w:rPr>
          <w:rFonts w:cs="Arial" w:ascii="Arial" w:hAnsi="Arial"/>
        </w:rPr>
        <w:t>2.2. Поверенный обязан:</w:t>
      </w:r>
    </w:p>
    <w:p>
      <w:pPr>
        <w:pStyle w:val="ConsPlusNonformat"/>
        <w:jc w:val="both"/>
        <w:rPr/>
      </w:pPr>
      <w:r>
        <w:rPr>
          <w:rFonts w:cs="Arial" w:ascii="Arial" w:hAnsi="Arial"/>
        </w:rPr>
        <w:t xml:space="preserve">  </w:t>
      </w:r>
      <w:r>
        <w:rPr>
          <w:rFonts w:cs="Arial" w:ascii="Arial" w:hAnsi="Arial"/>
        </w:rPr>
        <w:t xml:space="preserve">2.2.1. Соблюдать принципы и правила обработки персональных данных, предусмотренные Федеральным </w:t>
      </w:r>
      <w:hyperlink r:id="rId13">
        <w:r>
          <w:rPr>
            <w:rFonts w:cs="Arial" w:ascii="Arial" w:hAnsi="Arial"/>
          </w:rPr>
          <w:t>законом</w:t>
        </w:r>
      </w:hyperlink>
      <w:r>
        <w:rPr>
          <w:rFonts w:cs="Arial" w:ascii="Arial" w:hAnsi="Arial"/>
        </w:rPr>
        <w:t xml:space="preserve"> от 27 июля 2006 г. N 152-ФЗ "О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2.2.2.  Осуществлять обработку персональных данных в соответствии с целями, определенными Сторонами в настоящем Договоре.</w:t>
      </w:r>
    </w:p>
    <w:p>
      <w:pPr>
        <w:pStyle w:val="ConsPlusNonformat"/>
        <w:jc w:val="both"/>
        <w:rPr>
          <w:rFonts w:ascii="Arial" w:hAnsi="Arial" w:cs="Arial"/>
        </w:rPr>
      </w:pPr>
      <w:r>
        <w:rPr>
          <w:rFonts w:cs="Arial" w:ascii="Arial" w:hAnsi="Arial"/>
        </w:rPr>
        <w:t xml:space="preserve">  </w:t>
      </w:r>
      <w:r>
        <w:rPr>
          <w:rFonts w:cs="Arial" w:ascii="Arial" w:hAnsi="Arial"/>
        </w:rPr>
        <w:t>2.2.3. Осуществлять обработку персональных данных в форме, позволяющей определить субъекта персональных данных, не дольше, чем этого требуют цели обработки персональных данных.</w:t>
      </w:r>
    </w:p>
    <w:p>
      <w:pPr>
        <w:pStyle w:val="ConsPlusNonformat"/>
        <w:jc w:val="both"/>
        <w:rPr/>
      </w:pPr>
      <w:r>
        <w:rPr>
          <w:rFonts w:cs="Arial" w:ascii="Arial" w:hAnsi="Arial"/>
        </w:rPr>
        <w:t xml:space="preserve">   </w:t>
      </w:r>
      <w:r>
        <w:rPr>
          <w:rFonts w:cs="Arial" w:ascii="Arial" w:hAnsi="Arial"/>
        </w:rPr>
        <w:t xml:space="preserve">2.2.4.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w:t>
      </w:r>
      <w:hyperlink r:id="rId14">
        <w:r>
          <w:rPr>
            <w:rFonts w:cs="Arial" w:ascii="Arial" w:hAnsi="Arial"/>
          </w:rPr>
          <w:t>законом</w:t>
        </w:r>
      </w:hyperlink>
      <w:r>
        <w:rPr>
          <w:rFonts w:cs="Arial" w:ascii="Arial" w:hAnsi="Arial"/>
        </w:rPr>
        <w:t xml:space="preserve"> от 27 июля 2006 г. N 152-ФЗ "О персональных данных", а также соблюдать требования, предусмотренные </w:t>
      </w:r>
      <w:hyperlink r:id="rId15">
        <w:r>
          <w:rPr>
            <w:rFonts w:cs="Arial" w:ascii="Arial" w:hAnsi="Arial"/>
          </w:rPr>
          <w:t>частью 5 статьи 18</w:t>
        </w:r>
      </w:hyperlink>
      <w:r>
        <w:rPr>
          <w:rFonts w:cs="Arial" w:ascii="Arial" w:hAnsi="Arial"/>
        </w:rPr>
        <w:t xml:space="preserve"> и </w:t>
      </w:r>
      <w:hyperlink r:id="rId16">
        <w:r>
          <w:rPr>
            <w:rFonts w:cs="Arial" w:ascii="Arial" w:hAnsi="Arial"/>
          </w:rPr>
          <w:t>статьей 18.1</w:t>
        </w:r>
      </w:hyperlink>
      <w:r>
        <w:rPr>
          <w:rFonts w:cs="Arial" w:ascii="Arial" w:hAnsi="Arial"/>
        </w:rPr>
        <w:t xml:space="preserve"> Федерального закона от 27 июля 2006 г. N 152-ФЗ "О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2.2.5. В случае выявления неправомерной обработки персональных данных, в срок, не превышающий трех дней с даты этого выявления, обязан прекратить неправомерную обработку персональных данных.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уничтожить такие персональные данные или обеспечить их уничтожение. Об устранении допущенных нарушений или об уничтожении персональных данных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pPr>
        <w:pStyle w:val="ConsPlusNonformat"/>
        <w:jc w:val="both"/>
        <w:rPr>
          <w:rFonts w:ascii="Arial" w:hAnsi="Arial" w:cs="Arial"/>
        </w:rPr>
      </w:pPr>
      <w:r>
        <w:rPr>
          <w:rFonts w:cs="Arial" w:ascii="Arial" w:hAnsi="Arial"/>
        </w:rPr>
        <w:t xml:space="preserve">    </w:t>
      </w:r>
      <w:r>
        <w:rPr>
          <w:rFonts w:cs="Arial" w:ascii="Arial" w:hAnsi="Arial"/>
        </w:rPr>
        <w:t>2.2.5.1.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с момента выявления такого инцидента  Поверенным, уполномоченным органом по защите прав субъектов персональных данных или иным заинтересованным лицом уведомить Доверителя:</w:t>
      </w:r>
    </w:p>
    <w:p>
      <w:pPr>
        <w:pStyle w:val="ConsPlusNonformat"/>
        <w:jc w:val="both"/>
        <w:rPr>
          <w:rFonts w:ascii="Arial" w:hAnsi="Arial" w:cs="Arial"/>
        </w:rPr>
      </w:pPr>
      <w:r>
        <w:rPr>
          <w:rFonts w:cs="Arial" w:ascii="Arial" w:hAnsi="Arial"/>
        </w:rPr>
        <w:t>- в течение двенадцати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Поверенным на взаимодействие с Доверителем, по вопросам, связанным с выявленным инцидентом;</w:t>
      </w:r>
    </w:p>
    <w:p>
      <w:pPr>
        <w:pStyle w:val="ConsPlusNonformat"/>
        <w:jc w:val="both"/>
        <w:rPr>
          <w:rFonts w:ascii="Arial" w:hAnsi="Arial" w:cs="Arial"/>
        </w:rPr>
      </w:pPr>
      <w:r>
        <w:rPr>
          <w:rFonts w:cs="Arial" w:ascii="Arial" w:hAnsi="Arial"/>
        </w:rPr>
        <w:t>- в течение тридцати шести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pPr>
        <w:pStyle w:val="ConsPlusNonformat"/>
        <w:jc w:val="both"/>
        <w:rPr/>
      </w:pPr>
      <w:r>
        <w:rPr>
          <w:rFonts w:cs="Arial" w:ascii="Arial" w:hAnsi="Arial"/>
        </w:rPr>
        <w:t xml:space="preserve">   </w:t>
      </w:r>
      <w:r>
        <w:rPr>
          <w:rFonts w:cs="Arial" w:ascii="Arial" w:hAnsi="Arial"/>
        </w:rPr>
        <w:t xml:space="preserve">2.2.5.2. В случае достижения цели обработки персональных данных прекратить обработку персональных данных и уничтожить персональные данные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Доверителем и субъектом персональных данных либо если Доверитель не вправе осуществлять обработку персональных данных без согласия субъекта персональных данных на основаниях, предусмотренных Федеральным </w:t>
      </w:r>
      <w:hyperlink r:id="rId17">
        <w:r>
          <w:rPr>
            <w:rFonts w:cs="Arial" w:ascii="Arial" w:hAnsi="Arial"/>
          </w:rPr>
          <w:t>законом</w:t>
        </w:r>
      </w:hyperlink>
      <w:r>
        <w:rPr>
          <w:rFonts w:cs="Arial" w:ascii="Arial" w:hAnsi="Arial"/>
        </w:rPr>
        <w:t xml:space="preserve"> от 27 июля 2006 г. N 152-ФЗ "О персональных данных" или другими федеральными законами, и в течение пяти дней с момента уничтожения предоставить Доверителю копию Акта об уничтожении персональных данных.</w:t>
      </w:r>
    </w:p>
    <w:p>
      <w:pPr>
        <w:pStyle w:val="ConsPlusNonformat"/>
        <w:jc w:val="both"/>
        <w:rPr/>
      </w:pPr>
      <w:r>
        <w:rPr>
          <w:rFonts w:cs="Arial" w:ascii="Arial" w:hAnsi="Arial"/>
        </w:rPr>
        <w:t xml:space="preserve">  </w:t>
      </w:r>
      <w:r>
        <w:rPr>
          <w:rFonts w:cs="Arial" w:ascii="Arial" w:hAnsi="Arial"/>
        </w:rPr>
        <w:t xml:space="preserve">2.2.5.3. В случае отзыва субъектом персональных данных согласия на обработку его персональных данных прекратить их обработку и в случае, если сохранение персональных данных более не требуется для целей обработки персональных данных, уничтожить персональные данные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Доверителем и субъектом персональных данных либо если Доверитель не вправе осуществлять обработку персональных данных без согласия субъекта персональных данных на основаниях, предусмотренных Федеральным </w:t>
      </w:r>
      <w:hyperlink r:id="rId18">
        <w:r>
          <w:rPr>
            <w:rFonts w:cs="Arial" w:ascii="Arial" w:hAnsi="Arial"/>
          </w:rPr>
          <w:t>законом</w:t>
        </w:r>
      </w:hyperlink>
      <w:r>
        <w:rPr>
          <w:rFonts w:cs="Arial" w:ascii="Arial" w:hAnsi="Arial"/>
        </w:rPr>
        <w:t xml:space="preserve"> от 27 июля 2006 г. N 152-ФЗ "О персональных данных" или другими федеральными законами, и в течение пяти дней с момента уничтожения предоставить Доверителю копию Акта об уничтожении персональных данных.</w:t>
      </w:r>
    </w:p>
    <w:p>
      <w:pPr>
        <w:pStyle w:val="ConsPlusNonformat"/>
        <w:jc w:val="both"/>
        <w:rPr/>
      </w:pPr>
      <w:r>
        <w:rPr>
          <w:rFonts w:cs="Arial" w:ascii="Arial" w:hAnsi="Arial"/>
        </w:rPr>
        <w:t xml:space="preserve">    </w:t>
      </w:r>
      <w:r>
        <w:rPr>
          <w:rFonts w:cs="Arial" w:ascii="Arial" w:hAnsi="Arial"/>
        </w:rPr>
        <w:t xml:space="preserve">2.2.5.4. В случае обращения субъекта персональных данных с требованием о прекращении обработки персональных данных, в срок, не превышающий десяти рабочих дней с даты получения соответствующего требования, прекратить их обработку, за исключением случаев, предусмотренных </w:t>
      </w:r>
      <w:hyperlink r:id="rId19">
        <w:r>
          <w:rPr>
            <w:rFonts w:cs="Arial" w:ascii="Arial" w:hAnsi="Arial"/>
          </w:rPr>
          <w:t>пунктами 2</w:t>
        </w:r>
      </w:hyperlink>
      <w:r>
        <w:rPr>
          <w:rFonts w:cs="Arial" w:ascii="Arial" w:hAnsi="Arial"/>
        </w:rPr>
        <w:t xml:space="preserve"> - </w:t>
      </w:r>
      <w:hyperlink r:id="rId20">
        <w:r>
          <w:rPr>
            <w:rFonts w:cs="Arial" w:ascii="Arial" w:hAnsi="Arial"/>
          </w:rPr>
          <w:t>11 части 1</w:t>
        </w:r>
      </w:hyperlink>
      <w:r>
        <w:rPr>
          <w:rFonts w:cs="Arial" w:ascii="Arial" w:hAnsi="Arial"/>
        </w:rPr>
        <w:t xml:space="preserve"> статьи 6 и </w:t>
      </w:r>
      <w:hyperlink r:id="rId21">
        <w:r>
          <w:rPr>
            <w:rFonts w:cs="Arial" w:ascii="Arial" w:hAnsi="Arial"/>
          </w:rPr>
          <w:t>частью 2 статьи 10</w:t>
        </w:r>
      </w:hyperlink>
      <w:r>
        <w:rPr>
          <w:rFonts w:cs="Arial" w:ascii="Arial" w:hAnsi="Arial"/>
        </w:rPr>
        <w:t xml:space="preserve"> Федерального закона от 27 июля 2006 г. N 152-ФЗ "О персональных данных". Указанный срок может быть продлен, но не более чем на пять рабочих дней в случае направления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ConsPlusNonformat"/>
        <w:jc w:val="both"/>
        <w:rPr>
          <w:rFonts w:ascii="Arial" w:hAnsi="Arial" w:cs="Arial"/>
        </w:rPr>
      </w:pPr>
      <w:r>
        <w:rPr>
          <w:rFonts w:cs="Arial" w:ascii="Arial" w:hAnsi="Arial"/>
        </w:rPr>
        <w:t xml:space="preserve">     </w:t>
      </w:r>
      <w:r>
        <w:rPr>
          <w:rFonts w:cs="Arial" w:ascii="Arial" w:hAnsi="Arial"/>
        </w:rPr>
        <w:t>2.2.6. Предоставлять по запросу Доверителя в течение срока действия поручения Доверителя, в том числе до обработки персональных данных, документы и иную информацию, подтверждающие принятие мер и соблюдение в целях исполнения поручения Доверителя требований, установленных в соответствии с настоящим Договором.</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3. Ответственность сторон</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3.1.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w:t>
      </w:r>
    </w:p>
    <w:p>
      <w:pPr>
        <w:pStyle w:val="ConsPlusNonformat"/>
        <w:jc w:val="both"/>
        <w:rPr>
          <w:rFonts w:ascii="Arial" w:hAnsi="Arial" w:cs="Arial"/>
        </w:rPr>
      </w:pPr>
      <w:r>
        <w:rPr>
          <w:rFonts w:cs="Arial" w:ascii="Arial" w:hAnsi="Arial"/>
        </w:rPr>
        <w:t xml:space="preserve">    </w:t>
      </w:r>
      <w:r>
        <w:rPr>
          <w:rFonts w:cs="Arial" w:ascii="Arial" w:hAnsi="Arial"/>
        </w:rPr>
        <w:t>3.2. Ответственность перед субъектом персональных данных за действия Поверенного несет Доверитель. Поверенный, осуществляющий обработку персональных данных по поручению Доверителя, несет ответственность перед Доверителем.</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4. Конфиденциальность персональных данных</w:t>
      </w:r>
    </w:p>
    <w:p>
      <w:pPr>
        <w:pStyle w:val="ConsPlusNonformat"/>
        <w:jc w:val="both"/>
        <w:rPr>
          <w:rFonts w:ascii="Arial" w:hAnsi="Arial" w:cs="Arial"/>
        </w:rPr>
      </w:pPr>
      <w:r>
        <w:rPr>
          <w:rFonts w:cs="Arial" w:ascii="Arial" w:hAnsi="Arial"/>
        </w:rPr>
        <w:t xml:space="preserve">         </w:t>
      </w:r>
      <w:r>
        <w:rPr>
          <w:rFonts w:cs="Arial" w:ascii="Arial" w:hAnsi="Arial"/>
        </w:rPr>
        <w:t>и требования к защите обрабатываемых персональных данных</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4.1. Стороны при обработке персональных данных обязаны принимать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ConsPlusNonformat"/>
        <w:jc w:val="both"/>
        <w:rPr/>
      </w:pPr>
      <w:r>
        <w:rPr>
          <w:rFonts w:cs="Arial" w:ascii="Arial" w:hAnsi="Arial"/>
        </w:rPr>
        <w:t xml:space="preserve">  </w:t>
      </w:r>
      <w:r>
        <w:rPr>
          <w:rFonts w:cs="Arial" w:ascii="Arial" w:hAnsi="Arial"/>
        </w:rPr>
        <w:t xml:space="preserve">4.2.  Поверенный обеспечивает безопасность персональных данных при их обработке в информационной системе, а также защиту обрабатываемых персональных данных в соответствии со </w:t>
      </w:r>
      <w:hyperlink r:id="rId22">
        <w:r>
          <w:rPr>
            <w:rFonts w:cs="Arial" w:ascii="Arial" w:hAnsi="Arial"/>
          </w:rPr>
          <w:t>статьей 19</w:t>
        </w:r>
      </w:hyperlink>
      <w:r>
        <w:rPr>
          <w:rFonts w:cs="Arial" w:ascii="Arial" w:hAnsi="Arial"/>
        </w:rPr>
        <w:t xml:space="preserve"> Федерального закона от 27 июля 2006 г. N 152-ФЗ "О персональных данных".</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5. Порядок разрешения споров</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5.1. Споры и разногласия, которые могут возникнуть при исполнении настоящего Договора, разрешаются путем переговоров.</w:t>
      </w:r>
    </w:p>
    <w:p>
      <w:pPr>
        <w:pStyle w:val="ConsPlusNonformat"/>
        <w:jc w:val="both"/>
        <w:rPr>
          <w:rFonts w:ascii="Arial" w:hAnsi="Arial" w:cs="Arial"/>
        </w:rPr>
      </w:pPr>
      <w:r>
        <w:rPr>
          <w:rFonts w:cs="Arial" w:ascii="Arial" w:hAnsi="Arial"/>
        </w:rPr>
        <w:t xml:space="preserve">    </w:t>
      </w:r>
      <w:r>
        <w:rPr>
          <w:rFonts w:cs="Arial" w:ascii="Arial" w:hAnsi="Arial"/>
        </w:rPr>
        <w:t>5.2. Споры, не урегулированные путем переговоров, передаются на рассмотрение суда в порядке, предусмотренном законодательством Российской Федерации.</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6. Заключительные положения</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 xml:space="preserve">    </w:t>
      </w:r>
      <w:r>
        <w:rPr>
          <w:rFonts w:cs="Arial" w:ascii="Arial" w:hAnsi="Arial"/>
        </w:rPr>
        <w:t>6.1. Настоящий Договор составлен в двух экземплярах, имеющих одинаковую юридическую силу, по одному экземпляру для каждой из Сторон.</w:t>
      </w:r>
    </w:p>
    <w:p>
      <w:pPr>
        <w:pStyle w:val="ConsPlusNonformat"/>
        <w:jc w:val="both"/>
        <w:rPr>
          <w:rFonts w:ascii="Arial" w:hAnsi="Arial" w:cs="Arial"/>
        </w:rPr>
      </w:pPr>
      <w:r>
        <w:rPr>
          <w:rFonts w:cs="Arial" w:ascii="Arial" w:hAnsi="Arial"/>
        </w:rPr>
        <w:t xml:space="preserve">    </w:t>
      </w:r>
      <w:r>
        <w:rPr>
          <w:rFonts w:cs="Arial" w:ascii="Arial" w:hAnsi="Arial"/>
        </w:rPr>
        <w:t>6.2. Настоящий Договор вступает в силу с момента передачи бухгалтерского обслуживания Доверителем и действует до его расторжения Сторонами.</w:t>
      </w:r>
    </w:p>
    <w:p>
      <w:pPr>
        <w:pStyle w:val="ConsPlusNonformat"/>
        <w:jc w:val="both"/>
        <w:rPr>
          <w:rFonts w:ascii="Arial" w:hAnsi="Arial" w:cs="Arial"/>
        </w:rPr>
      </w:pPr>
      <w:r>
        <w:rPr>
          <w:rFonts w:cs="Arial" w:ascii="Arial" w:hAnsi="Arial"/>
        </w:rPr>
        <w:t xml:space="preserve">    </w:t>
      </w:r>
      <w:r>
        <w:rPr>
          <w:rFonts w:cs="Arial" w:ascii="Arial" w:hAnsi="Arial"/>
        </w:rPr>
        <w:t>6.3.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p>
    <w:p>
      <w:pPr>
        <w:pStyle w:val="ConsPlusNonformat"/>
        <w:jc w:val="both"/>
        <w:rPr>
          <w:rFonts w:ascii="Arial" w:hAnsi="Arial" w:cs="Arial"/>
        </w:rPr>
      </w:pPr>
      <w:r>
        <w:rPr>
          <w:rFonts w:cs="Arial" w:ascii="Arial" w:hAnsi="Arial"/>
        </w:rPr>
      </w:r>
    </w:p>
    <w:p>
      <w:pPr>
        <w:pStyle w:val="ConsPlusNonformat"/>
        <w:jc w:val="center"/>
        <w:rPr>
          <w:rFonts w:ascii="Arial" w:hAnsi="Arial" w:cs="Arial"/>
        </w:rPr>
      </w:pPr>
      <w:r>
        <w:rPr>
          <w:rFonts w:cs="Arial" w:ascii="Arial" w:hAnsi="Arial"/>
        </w:rPr>
        <w:t>7. Реквизиты и подписи сторон</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Доверитель</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Юридический и почтовый адрес: ______________</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ИНН/КПП ____________________________________</w:t>
      </w:r>
    </w:p>
    <w:p>
      <w:pPr>
        <w:pStyle w:val="ConsPlusNonformat"/>
        <w:jc w:val="both"/>
        <w:rPr>
          <w:rFonts w:ascii="Arial" w:hAnsi="Arial" w:cs="Arial"/>
        </w:rPr>
      </w:pPr>
      <w:r>
        <w:rPr>
          <w:rFonts w:cs="Arial" w:ascii="Arial" w:hAnsi="Arial"/>
        </w:rPr>
        <w:t xml:space="preserve">ОКТМО </w:t>
      </w:r>
    </w:p>
    <w:p>
      <w:pPr>
        <w:pStyle w:val="ConsPlusNonformat"/>
        <w:jc w:val="both"/>
        <w:rPr>
          <w:rFonts w:ascii="Arial" w:hAnsi="Arial" w:cs="Arial"/>
        </w:rPr>
      </w:pPr>
      <w:r>
        <w:rPr>
          <w:rFonts w:cs="Arial" w:ascii="Arial" w:hAnsi="Arial"/>
        </w:rPr>
        <w:t>Тел. _______________________________________</w:t>
      </w:r>
    </w:p>
    <w:p>
      <w:pPr>
        <w:pStyle w:val="ConsPlusNonformat"/>
        <w:jc w:val="both"/>
        <w:rPr>
          <w:rFonts w:ascii="Arial" w:hAnsi="Arial" w:cs="Arial"/>
        </w:rPr>
      </w:pPr>
      <w:r>
        <w:rPr>
          <w:rFonts w:cs="Arial" w:ascii="Arial" w:hAnsi="Arial"/>
        </w:rPr>
        <w:t>Факс _______________________________________</w:t>
      </w:r>
    </w:p>
    <w:p>
      <w:pPr>
        <w:pStyle w:val="ConsPlusNonformat"/>
        <w:jc w:val="both"/>
        <w:rPr>
          <w:rFonts w:ascii="Arial" w:hAnsi="Arial" w:cs="Arial"/>
        </w:rPr>
      </w:pPr>
      <w:r>
        <w:rPr>
          <w:rFonts w:cs="Arial" w:ascii="Arial" w:hAnsi="Arial"/>
        </w:rPr>
        <w:t>Руководитель _______________________________</w:t>
      </w:r>
    </w:p>
    <w:p>
      <w:pPr>
        <w:pStyle w:val="ConsPlusNonformat"/>
        <w:jc w:val="both"/>
        <w:rPr>
          <w:rFonts w:ascii="Arial" w:hAnsi="Arial" w:cs="Arial"/>
        </w:rPr>
      </w:pPr>
      <w:r>
        <w:rPr>
          <w:rFonts w:cs="Arial" w:ascii="Arial" w:hAnsi="Arial"/>
        </w:rPr>
        <w:t>М.П.</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Поверенный</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Казенное учреждение Чувашской Республики</w:t>
      </w:r>
    </w:p>
    <w:p>
      <w:pPr>
        <w:pStyle w:val="ConsPlusNonformat"/>
        <w:jc w:val="both"/>
        <w:rPr>
          <w:rFonts w:ascii="Arial" w:hAnsi="Arial" w:cs="Arial"/>
        </w:rPr>
      </w:pPr>
      <w:r>
        <w:rPr>
          <w:rFonts w:cs="Arial" w:ascii="Arial" w:hAnsi="Arial"/>
        </w:rPr>
        <w:t>"Республиканский центр бухгалтерского учета"</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Юридический и почтовый адрес: ______________</w:t>
      </w:r>
    </w:p>
    <w:p>
      <w:pPr>
        <w:pStyle w:val="ConsPlusNonformat"/>
        <w:jc w:val="both"/>
        <w:rPr>
          <w:rFonts w:ascii="Arial" w:hAnsi="Arial" w:cs="Arial"/>
        </w:rPr>
      </w:pPr>
      <w:r>
        <w:rPr>
          <w:rFonts w:cs="Arial" w:ascii="Arial" w:hAnsi="Arial"/>
        </w:rPr>
        <w:t>____________________________________________</w:t>
      </w:r>
    </w:p>
    <w:p>
      <w:pPr>
        <w:pStyle w:val="ConsPlusNonformat"/>
        <w:jc w:val="both"/>
        <w:rPr>
          <w:rFonts w:ascii="Arial" w:hAnsi="Arial" w:cs="Arial"/>
        </w:rPr>
      </w:pPr>
      <w:r>
        <w:rPr>
          <w:rFonts w:cs="Arial" w:ascii="Arial" w:hAnsi="Arial"/>
        </w:rPr>
        <w:t>ИНН/КПП ____________________________</w:t>
      </w:r>
    </w:p>
    <w:p>
      <w:pPr>
        <w:pStyle w:val="ConsPlusNonformat"/>
        <w:jc w:val="both"/>
        <w:rPr>
          <w:rFonts w:ascii="Arial" w:hAnsi="Arial" w:cs="Arial"/>
        </w:rPr>
      </w:pPr>
      <w:r>
        <w:rPr>
          <w:rFonts w:cs="Arial" w:ascii="Arial" w:hAnsi="Arial"/>
        </w:rPr>
        <w:t xml:space="preserve">ОКТМО </w:t>
      </w:r>
    </w:p>
    <w:p>
      <w:pPr>
        <w:pStyle w:val="ConsPlusNonformat"/>
        <w:jc w:val="both"/>
        <w:rPr>
          <w:rFonts w:ascii="Arial" w:hAnsi="Arial" w:cs="Arial"/>
        </w:rPr>
      </w:pPr>
      <w:r>
        <w:rPr>
          <w:rFonts w:cs="Arial" w:ascii="Arial" w:hAnsi="Arial"/>
        </w:rPr>
        <w:t>Тел. _______________________________________</w:t>
      </w:r>
    </w:p>
    <w:p>
      <w:pPr>
        <w:pStyle w:val="ConsPlusNonformat"/>
        <w:jc w:val="both"/>
        <w:rPr>
          <w:rFonts w:ascii="Arial" w:hAnsi="Arial" w:cs="Arial"/>
        </w:rPr>
      </w:pPr>
      <w:r>
        <w:rPr>
          <w:rFonts w:cs="Arial" w:ascii="Arial" w:hAnsi="Arial"/>
        </w:rPr>
        <w:t>Директор ___________________________________</w:t>
      </w:r>
    </w:p>
    <w:p>
      <w:pPr>
        <w:pStyle w:val="ConsPlusNonformat"/>
        <w:jc w:val="both"/>
        <w:rPr>
          <w:rFonts w:ascii="Arial" w:hAnsi="Arial" w:cs="Arial"/>
        </w:rPr>
      </w:pPr>
      <w:r>
        <w:rPr>
          <w:rFonts w:cs="Arial" w:ascii="Arial" w:hAnsi="Arial"/>
        </w:rPr>
        <w:t>М.П.</w:t>
      </w:r>
    </w:p>
    <w:p>
      <w:pPr>
        <w:pStyle w:val="ConsPlusNormal"/>
        <w:jc w:val="both"/>
        <w:rPr/>
      </w:pPr>
      <w:r>
        <w:rPr/>
      </w:r>
    </w:p>
    <w:p>
      <w:pPr>
        <w:pStyle w:val="Normal"/>
        <w:spacing w:lineRule="auto" w:line="240" w:before="0" w:after="0"/>
        <w:rPr>
          <w:rFonts w:ascii="Arial" w:hAnsi="Arial" w:eastAsia="" w:cs="Arial" w:eastAsiaTheme="minorEastAsia"/>
          <w:sz w:val="20"/>
          <w:lang w:eastAsia="ru-RU"/>
        </w:rPr>
      </w:pPr>
      <w:r>
        <w:rPr>
          <w:rFonts w:eastAsia="" w:cs="Arial" w:eastAsiaTheme="minorEastAsia" w:ascii="Arial" w:hAnsi="Arial"/>
          <w:sz w:val="20"/>
          <w:lang w:eastAsia="ru-RU"/>
        </w:rPr>
      </w:r>
      <w:r>
        <w:br w:type="page"/>
      </w:r>
    </w:p>
    <w:p>
      <w:pPr>
        <w:pStyle w:val="ConsPlusNormal"/>
        <w:numPr>
          <w:ilvl w:val="0"/>
          <w:numId w:val="0"/>
        </w:numPr>
        <w:ind w:left="0" w:hanging="0"/>
        <w:jc w:val="right"/>
        <w:outlineLvl w:val="1"/>
        <w:rPr/>
      </w:pPr>
      <w:r>
        <w:rPr/>
        <w:t>Приложение N 4</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Title"/>
        <w:jc w:val="center"/>
        <w:rPr/>
      </w:pPr>
      <w:bookmarkStart w:id="8" w:name="P1181"/>
      <w:bookmarkEnd w:id="8"/>
      <w:r>
        <w:rPr/>
        <w:t>ПЕРЕЧЕНЬ</w:t>
      </w:r>
    </w:p>
    <w:p>
      <w:pPr>
        <w:pStyle w:val="ConsPlusTitle"/>
        <w:jc w:val="center"/>
        <w:rPr/>
      </w:pPr>
      <w:r>
        <w:rPr/>
        <w:t>ОТЧЕТНОСТИ, ФОРМИРУЕМОЙ ЦБ</w:t>
      </w:r>
    </w:p>
    <w:p>
      <w:pPr>
        <w:pStyle w:val="ConsPlusNormal"/>
        <w:spacing w:before="0" w:after="1"/>
        <w:rPr/>
      </w:pPr>
      <w:r>
        <w:rPr/>
      </w:r>
    </w:p>
    <w:p>
      <w:pPr>
        <w:pStyle w:val="ConsPlusTitle"/>
        <w:numPr>
          <w:ilvl w:val="0"/>
          <w:numId w:val="0"/>
        </w:numPr>
        <w:ind w:left="0" w:hanging="0"/>
        <w:jc w:val="center"/>
        <w:outlineLvl w:val="2"/>
        <w:rPr>
          <w:strike/>
        </w:rPr>
      </w:pPr>
      <w:r>
        <w:rPr/>
        <w:t xml:space="preserve">1. Бухгалтерская отчетность Субъекта централизованного учета </w:t>
      </w:r>
    </w:p>
    <w:p>
      <w:pPr>
        <w:pStyle w:val="ConsPlusNormal"/>
        <w:jc w:val="both"/>
        <w:rPr/>
      </w:pPr>
      <w:r>
        <w:rPr/>
      </w:r>
    </w:p>
    <w:tbl>
      <w:tblPr>
        <w:tblW w:w="9071"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566"/>
        <w:gridCol w:w="8504"/>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N</w:t>
            </w:r>
          </w:p>
          <w:p>
            <w:pPr>
              <w:pStyle w:val="ConsPlusNormal"/>
              <w:widowControl w:val="false"/>
              <w:jc w:val="center"/>
              <w:rPr/>
            </w:pPr>
            <w:r>
              <w:rPr/>
              <w:t>п/п</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отчетных форм</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Баланс государственного (муниципального) учреждения (Форма 0503730)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Справка по консолидируемым расчетам учреждения (Форма 0503725)</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3.</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Справка по заключению учреждением счетов бухгалтерского учета отчетного финансового года (Форма 0503710)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4.</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об исполнении учреждением плана его финансово-хозяйственной деятельности (Форма 0503737)</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5.</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об обязательствах учреждения (Форма 0503738)</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6.</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об обязательствах учреждения (по национальным проектам) (Форма 0503738 НП)</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7.</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 финансовых результатах деятельности учреждения (Форма 0503721)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8.</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Отчет о движении денежных средств учреждения (Форма 0503723)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9.</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Пояснительная записка к Балансу учреждения (Форма 0503760)</w:t>
            </w:r>
          </w:p>
        </w:tc>
      </w:tr>
      <w:tr>
        <w:trPr/>
        <w:tc>
          <w:tcPr>
            <w:tcW w:w="566" w:type="dxa"/>
            <w:tcBorders>
              <w:left w:val="single" w:sz="4" w:space="0" w:color="000000"/>
              <w:bottom w:val="single" w:sz="4" w:space="0" w:color="000000"/>
              <w:right w:val="single" w:sz="4" w:space="0" w:color="000000"/>
            </w:tcBorders>
          </w:tcPr>
          <w:p>
            <w:pPr>
              <w:pStyle w:val="ConsPlusNormal"/>
              <w:widowControl w:val="false"/>
              <w:jc w:val="center"/>
              <w:rPr/>
            </w:pPr>
            <w:r>
              <w:rPr/>
              <w:t>10.</w:t>
            </w:r>
          </w:p>
        </w:tc>
        <w:tc>
          <w:tcPr>
            <w:tcW w:w="8504"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о движении нефинансовых активов учреждения (Форма 0503768)</w:t>
            </w:r>
          </w:p>
        </w:tc>
      </w:tr>
      <w:tr>
        <w:trPr/>
        <w:tc>
          <w:tcPr>
            <w:tcW w:w="566" w:type="dxa"/>
            <w:tcBorders>
              <w:left w:val="single" w:sz="4" w:space="0" w:color="000000"/>
              <w:bottom w:val="single" w:sz="4" w:space="0" w:color="000000"/>
              <w:right w:val="single" w:sz="4" w:space="0" w:color="000000"/>
            </w:tcBorders>
          </w:tcPr>
          <w:p>
            <w:pPr>
              <w:pStyle w:val="ConsPlusNormal"/>
              <w:widowControl w:val="false"/>
              <w:jc w:val="center"/>
              <w:rPr/>
            </w:pPr>
            <w:r>
              <w:rPr/>
              <w:t>11.</w:t>
            </w:r>
          </w:p>
        </w:tc>
        <w:tc>
          <w:tcPr>
            <w:tcW w:w="8504"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по дебиторской и кредиторской задолженности учреждения (Форма 0503769)</w:t>
            </w:r>
          </w:p>
        </w:tc>
      </w:tr>
      <w:tr>
        <w:trPr/>
        <w:tc>
          <w:tcPr>
            <w:tcW w:w="566" w:type="dxa"/>
            <w:tcBorders>
              <w:left w:val="single" w:sz="4" w:space="0" w:color="000000"/>
              <w:bottom w:val="single" w:sz="4" w:space="0" w:color="000000"/>
              <w:right w:val="single" w:sz="4" w:space="0" w:color="000000"/>
            </w:tcBorders>
          </w:tcPr>
          <w:p>
            <w:pPr>
              <w:pStyle w:val="ConsPlusNormal"/>
              <w:widowControl w:val="false"/>
              <w:jc w:val="center"/>
              <w:rPr/>
            </w:pPr>
            <w:r>
              <w:rPr/>
              <w:t>12.</w:t>
            </w:r>
          </w:p>
        </w:tc>
        <w:tc>
          <w:tcPr>
            <w:tcW w:w="8504"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об изменении остатков валюты баланса учреждения (Форма 0503773)</w:t>
            </w:r>
          </w:p>
        </w:tc>
      </w:tr>
      <w:tr>
        <w:trPr/>
        <w:tc>
          <w:tcPr>
            <w:tcW w:w="566" w:type="dxa"/>
            <w:tcBorders>
              <w:left w:val="single" w:sz="4" w:space="0" w:color="000000"/>
              <w:bottom w:val="single" w:sz="4" w:space="0" w:color="000000"/>
              <w:right w:val="single" w:sz="4" w:space="0" w:color="000000"/>
            </w:tcBorders>
          </w:tcPr>
          <w:p>
            <w:pPr>
              <w:pStyle w:val="ConsPlusNormal"/>
              <w:widowControl w:val="false"/>
              <w:jc w:val="center"/>
              <w:rPr/>
            </w:pPr>
            <w:r>
              <w:rPr/>
              <w:t>13.</w:t>
            </w:r>
          </w:p>
        </w:tc>
        <w:tc>
          <w:tcPr>
            <w:tcW w:w="8504" w:type="dxa"/>
            <w:tcBorders>
              <w:left w:val="single" w:sz="4" w:space="0" w:color="000000"/>
              <w:bottom w:val="single" w:sz="4" w:space="0" w:color="000000"/>
              <w:right w:val="single" w:sz="4" w:space="0" w:color="000000"/>
            </w:tcBorders>
          </w:tcPr>
          <w:p>
            <w:pPr>
              <w:pStyle w:val="ConsPlusNormal"/>
              <w:widowControl w:val="false"/>
              <w:jc w:val="both"/>
              <w:rPr/>
            </w:pPr>
            <w:r>
              <w:rPr/>
              <w:t>Сведения об остатках денежных средств учреждения (Форма 0503778)</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zCs w:val="20"/>
              </w:rPr>
            </w:pPr>
            <w:r>
              <w:rPr>
                <w:szCs w:val="20"/>
              </w:rPr>
              <w:t>14.</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zCs w:val="20"/>
              </w:rPr>
            </w:pPr>
            <w:r>
              <w:rPr>
                <w:szCs w:val="20"/>
              </w:rPr>
              <w:t>Разделительный (ликвидационный) баланс государственного (муниципального) учреждения (Форма 0503830)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zCs w:val="20"/>
              </w:rPr>
            </w:pPr>
            <w:r>
              <w:rPr>
                <w:szCs w:val="20"/>
              </w:rPr>
              <w:t>15.</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rPr>
                <w:szCs w:val="20"/>
              </w:rPr>
            </w:pPr>
            <w:r>
              <w:rPr>
                <w:szCs w:val="20"/>
              </w:rPr>
              <w:t>Справочная таблица к отчету об исполнении консолидированного бюджета субъекта Российской Федерации (Форма 0503387)</w:t>
            </w:r>
          </w:p>
        </w:tc>
      </w:tr>
    </w:tbl>
    <w:p>
      <w:pPr>
        <w:pStyle w:val="ConsPlusNormal"/>
        <w:jc w:val="both"/>
        <w:rPr/>
      </w:pPr>
      <w:r>
        <w:rPr/>
      </w:r>
    </w:p>
    <w:p>
      <w:pPr>
        <w:pStyle w:val="ConsPlusTitle"/>
        <w:numPr>
          <w:ilvl w:val="0"/>
          <w:numId w:val="0"/>
        </w:numPr>
        <w:ind w:left="0" w:hanging="0"/>
        <w:jc w:val="center"/>
        <w:outlineLvl w:val="2"/>
        <w:rPr/>
      </w:pPr>
      <w:r>
        <w:rPr/>
        <w:t>2. Налоговая отчетность и отчетность в государственные</w:t>
      </w:r>
    </w:p>
    <w:p>
      <w:pPr>
        <w:pStyle w:val="ConsPlusTitle"/>
        <w:jc w:val="center"/>
        <w:rPr/>
      </w:pPr>
      <w:r>
        <w:rPr/>
        <w:t>внебюджетные фонды, органы государственной статистики</w:t>
      </w:r>
    </w:p>
    <w:p>
      <w:pPr>
        <w:pStyle w:val="ConsPlusNormal"/>
        <w:jc w:val="both"/>
        <w:rPr/>
      </w:pPr>
      <w:r>
        <w:rPr/>
      </w:r>
    </w:p>
    <w:tbl>
      <w:tblPr>
        <w:tblW w:w="9071"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566"/>
        <w:gridCol w:w="8504"/>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N</w:t>
            </w:r>
          </w:p>
          <w:p>
            <w:pPr>
              <w:pStyle w:val="ConsPlusNormal"/>
              <w:widowControl w:val="false"/>
              <w:jc w:val="center"/>
              <w:rPr/>
            </w:pPr>
            <w:r>
              <w:rPr/>
              <w:t>п/п</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отчетных форм</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 xml:space="preserve">Расчет сумм налога на доходы физических лиц, исчисленных и удержанных налоговым агентом </w:t>
            </w:r>
            <w:hyperlink r:id="rId23">
              <w:r>
                <w:rPr/>
                <w:t>(Форма 6-НДФЛ)</w:t>
              </w:r>
            </w:hyperlink>
            <w:r>
              <w:rPr/>
              <w:t xml:space="preserve"> (Форма по КНД 1151100)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Налоговая декларация по налогу на имущество организаций (Форма по КНД 1152026)</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3.</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Налоговая декларация по налогу на прибыль организаций (Форма по КНД 1151006)</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4.</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Налоговая декларация по налогу на добавленную стоимость (Форма по КНД 1151001)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5.</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Расчет по страховым взносам (Форма по КНД 1151111)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6.</w:t>
            </w:r>
          </w:p>
        </w:tc>
        <w:tc>
          <w:tcPr>
            <w:tcW w:w="85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Arial" w:hAnsi="Arial" w:cs="Arial"/>
                <w:sz w:val="20"/>
                <w:szCs w:val="20"/>
              </w:rPr>
            </w:pPr>
            <w:r>
              <w:rPr>
                <w:rFonts w:cs="Arial" w:ascii="Arial" w:hAnsi="Arial"/>
                <w:sz w:val="21"/>
                <w:szCs w:val="21"/>
                <w:shd w:fill="FFFFFF" w:val="clear"/>
              </w:rPr>
              <w:t>Персонифицированные сведения о физических лицах (Форма по КНД 1151162)</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7.</w:t>
            </w:r>
          </w:p>
        </w:tc>
        <w:tc>
          <w:tcPr>
            <w:tcW w:w="85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Arial" w:hAnsi="Arial" w:cs="Arial"/>
                <w:sz w:val="21"/>
                <w:szCs w:val="21"/>
                <w:shd w:fill="FFFFFF" w:val="clear"/>
              </w:rPr>
            </w:pPr>
            <w:r>
              <w:rPr>
                <w:rFonts w:cs="Arial" w:ascii="Arial" w:hAnsi="Arial"/>
                <w:sz w:val="21"/>
                <w:szCs w:val="21"/>
                <w:shd w:fill="FFFFFF" w:val="clear"/>
              </w:rPr>
              <w:t>Уведомление об исчисленных суммах налогов, авансовых платежей по налогам, сборов, страховых взносов (Форма по КНД 1110355)</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8.</w:t>
            </w:r>
          </w:p>
        </w:tc>
        <w:tc>
          <w:tcPr>
            <w:tcW w:w="850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spacing w:lineRule="auto" w:line="240" w:before="0" w:after="0"/>
              <w:rPr>
                <w:rFonts w:ascii="Arial" w:hAnsi="Arial" w:cs="Arial"/>
                <w:sz w:val="20"/>
                <w:szCs w:val="20"/>
              </w:rPr>
            </w:pPr>
            <w:r>
              <w:rPr>
                <w:rFonts w:cs="Arial" w:ascii="Arial" w:hAnsi="Arial"/>
                <w:sz w:val="20"/>
                <w:szCs w:val="20"/>
              </w:rPr>
              <w:t>Единая форма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раздел 1 подраздел 1.3 "</w:t>
            </w:r>
            <w:r>
              <w:rPr>
                <w:rFonts w:eastAsia="Times New Roman" w:cs="Arial" w:ascii="Arial" w:hAnsi="Arial"/>
                <w:sz w:val="21"/>
                <w:szCs w:val="21"/>
                <w:shd w:fill="FFFFFF" w:val="clear"/>
                <w:lang w:eastAsia="ru-RU"/>
              </w:rPr>
              <w:t>Сведения о заработной плате и условиях осуществления деятельности работников государственных (муниципальных) учреждений</w:t>
            </w:r>
            <w:r>
              <w:rPr>
                <w:rFonts w:eastAsia="Times New Roman" w:cs="Arial" w:ascii="Arial" w:hAnsi="Arial"/>
                <w:sz w:val="21"/>
                <w:szCs w:val="20"/>
                <w:shd w:fill="FFFFFF" w:val="clear"/>
                <w:lang w:eastAsia="ru-RU"/>
              </w:rPr>
              <w:t>"</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9.</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szCs w:val="20"/>
              </w:rPr>
              <w:t>Единая форма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раздел 1 подраздел 3 "</w:t>
            </w:r>
            <w:r>
              <w:rPr>
                <w:rFonts w:eastAsia="Times New Roman"/>
                <w:sz w:val="21"/>
                <w:szCs w:val="21"/>
                <w:shd w:fill="FFFFFF" w:val="clear"/>
              </w:rPr>
              <w:t>Сведения о застрахованных лицах, за которых перечислены дополнительные страховые взносы на накопительную пенсию и уплачены взносы работодателя</w:t>
            </w:r>
            <w:r>
              <w:rPr>
                <w:rFonts w:eastAsia="Times New Roman"/>
                <w:sz w:val="21"/>
                <w:szCs w:val="20"/>
                <w:shd w:fill="FFFFFF" w:val="clear"/>
              </w:rPr>
              <w:t>"</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10.</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szCs w:val="20"/>
              </w:rPr>
              <w:t>Единая форма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раздел 2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11.</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Статистическая отчетность, основанная исключительно на данных бухгалтерского учета (</w:t>
            </w:r>
            <w:hyperlink r:id="rId24">
              <w:r>
                <w:rPr/>
                <w:t>форма N П-2</w:t>
              </w:r>
            </w:hyperlink>
            <w:r>
              <w:rPr/>
              <w:t xml:space="preserve">, </w:t>
            </w:r>
            <w:hyperlink r:id="rId25">
              <w:r>
                <w:rPr/>
                <w:t>форма N 11-краткая</w:t>
              </w:r>
            </w:hyperlink>
            <w:r>
              <w:rPr/>
              <w:t xml:space="preserve">, </w:t>
            </w:r>
            <w:hyperlink r:id="rId26">
              <w:r>
                <w:rPr/>
                <w:t>форма N П-2 (инвест)</w:t>
              </w:r>
            </w:hyperlink>
            <w:r>
              <w:rPr/>
              <w:t xml:space="preserve">, сведения о численности и заработной плате работников </w:t>
            </w:r>
            <w:hyperlink r:id="rId27">
              <w:r>
                <w:rPr/>
                <w:t>(Форма П-4)</w:t>
              </w:r>
            </w:hyperlink>
            <w:r>
              <w:rPr/>
              <w:t>, и иные формы статистического наблюдения, установленные законодательством)</w:t>
            </w:r>
          </w:p>
        </w:tc>
      </w:tr>
    </w:tbl>
    <w:p>
      <w:pPr>
        <w:pStyle w:val="ConsPlusNormal"/>
        <w:jc w:val="both"/>
        <w:rPr/>
      </w:pPr>
      <w:r>
        <w:rPr/>
      </w:r>
    </w:p>
    <w:p>
      <w:pPr>
        <w:pStyle w:val="Normal"/>
        <w:spacing w:lineRule="auto" w:line="240" w:before="0" w:after="0"/>
        <w:rPr>
          <w:rFonts w:ascii="Arial" w:hAnsi="Arial" w:eastAsia="Times New Roman" w:cs="Arial"/>
          <w:color w:val="222222"/>
          <w:sz w:val="21"/>
          <w:szCs w:val="21"/>
          <w:lang w:eastAsia="ru-RU"/>
        </w:rPr>
      </w:pPr>
      <w:r>
        <w:rPr>
          <w:rFonts w:eastAsia="Times New Roman" w:cs="Arial" w:ascii="Arial" w:hAnsi="Arial"/>
          <w:color w:val="222222"/>
          <w:sz w:val="21"/>
          <w:szCs w:val="21"/>
          <w:lang w:eastAsia="ru-RU"/>
        </w:rPr>
      </w:r>
      <w:r>
        <w:br w:type="page"/>
      </w:r>
    </w:p>
    <w:p>
      <w:pPr>
        <w:pStyle w:val="ConsPlusNormal"/>
        <w:numPr>
          <w:ilvl w:val="0"/>
          <w:numId w:val="0"/>
        </w:numPr>
        <w:ind w:left="0" w:hanging="0"/>
        <w:jc w:val="right"/>
        <w:outlineLvl w:val="1"/>
        <w:rPr/>
      </w:pPr>
      <w:r>
        <w:rPr/>
        <w:t>Приложение N 5</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Nonformat"/>
        <w:jc w:val="center"/>
        <w:rPr/>
      </w:pPr>
      <w:r>
        <w:rPr>
          <w:rFonts w:cs="Arial" w:ascii="Arial" w:hAnsi="Arial"/>
          <w:b/>
        </w:rPr>
        <w:t>АКТ</w:t>
      </w:r>
    </w:p>
    <w:p>
      <w:pPr>
        <w:pStyle w:val="ConsPlusNonformat"/>
        <w:jc w:val="center"/>
        <w:rPr>
          <w:rFonts w:ascii="Arial" w:hAnsi="Arial" w:cs="Arial"/>
        </w:rPr>
      </w:pPr>
      <w:r>
        <w:rPr>
          <w:rFonts w:cs="Arial" w:ascii="Arial" w:hAnsi="Arial"/>
          <w:b/>
        </w:rPr>
        <w:t>приема-передачи</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_____________________________________________________, именуемое в дальнейшем "Субъект</w:t>
      </w:r>
    </w:p>
    <w:p>
      <w:pPr>
        <w:pStyle w:val="ConsPlusNonformat"/>
        <w:jc w:val="both"/>
        <w:rPr>
          <w:rFonts w:ascii="Arial" w:hAnsi="Arial" w:cs="Arial"/>
        </w:rPr>
      </w:pPr>
      <w:r>
        <w:rPr>
          <w:rFonts w:cs="Arial" w:ascii="Arial" w:hAnsi="Arial"/>
        </w:rPr>
        <w:t>централизованного учета", в лице ____________________________________, действующего(ей) на</w:t>
      </w:r>
    </w:p>
    <w:p>
      <w:pPr>
        <w:pStyle w:val="ConsPlusNonformat"/>
        <w:jc w:val="both"/>
        <w:rPr>
          <w:rFonts w:ascii="Arial" w:hAnsi="Arial" w:cs="Arial"/>
        </w:rPr>
      </w:pPr>
      <w:r>
        <w:rPr>
          <w:rFonts w:cs="Arial" w:ascii="Arial" w:hAnsi="Arial"/>
        </w:rPr>
        <w:t>основании __________________________, с одной стороны, передает, а казенное учреждение   Чувашской  Республики  "Республиканский  центр  бухгалтерского учета", именуемое в дальнейшем "ЦБ" в лице директора _____________________, действующего на основании ____________________, с другой стороны, принимает следующие документы:</w:t>
      </w:r>
    </w:p>
    <w:p>
      <w:pPr>
        <w:pStyle w:val="ConsPlusNormal"/>
        <w:jc w:val="both"/>
        <w:rPr/>
      </w:pPr>
      <w:r>
        <w:rPr/>
      </w:r>
    </w:p>
    <w:tbl>
      <w:tblPr>
        <w:tblW w:w="9407"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556"/>
        <w:gridCol w:w="5165"/>
        <w:gridCol w:w="1479"/>
        <w:gridCol w:w="793"/>
        <w:gridCol w:w="1414"/>
      </w:tblGrid>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N</w:t>
            </w:r>
          </w:p>
          <w:p>
            <w:pPr>
              <w:pStyle w:val="ConsPlusNormal"/>
              <w:widowControl w:val="false"/>
              <w:jc w:val="center"/>
              <w:rPr/>
            </w:pPr>
            <w:r>
              <w:rPr/>
              <w:t>п/п</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документа</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Форма (копия/оригинал документа)</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Кол-во листов</w:t>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Примечание</w:t>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Учредительные документы, свидетельство о государственной регистрации или лист записи ЕГРЮЛ, свидетельство о постановке на учет в налоговых органах</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Информационные письма, извещения, уведомления о постановке на учет в соответствующих регистрирующих органах</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3.</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Доверенности, выданные на осуществление отдельных полномочий, касающиеся хозяйственной деятельности Субъекта централизованного учета</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оригинал</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4.</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Приказ о праве подписи документов</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5.</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Штатное расписание по состоянию на 1 января года, в котором передается бухгалтерское обслуживание и на дату передачи бухгалтерского обслуживания, изменения к штатному расписанию за вышеуказанный период</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оригинал</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6.</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Государственные контракты (договоры) на поставку товаров, выполнение работ, оказание услуг, заключенные на год, в котором передается бухгалтерское обслуживание, в том числе:</w:t>
            </w:r>
          </w:p>
          <w:p>
            <w:pPr>
              <w:pStyle w:val="ConsPlusNormal"/>
              <w:widowControl w:val="false"/>
              <w:jc w:val="both"/>
              <w:rPr/>
            </w:pPr>
            <w:r>
              <w:rPr/>
              <w:t>информации о заключенных контрактах (его изменениях); расшифровки к договорам на поставку продукции, работ и услуг за счет всех источников финансирования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7.</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Приказ об утверждении государственного задания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left w:val="single" w:sz="4" w:space="0" w:color="000000"/>
              <w:bottom w:val="single" w:sz="4" w:space="0" w:color="000000"/>
              <w:right w:val="single" w:sz="4" w:space="0" w:color="000000"/>
            </w:tcBorders>
          </w:tcPr>
          <w:p>
            <w:pPr>
              <w:pStyle w:val="ConsPlusNormal"/>
              <w:widowControl w:val="false"/>
              <w:jc w:val="center"/>
              <w:rPr/>
            </w:pPr>
            <w:r>
              <w:rPr/>
              <w:t>8.</w:t>
            </w:r>
          </w:p>
        </w:tc>
        <w:tc>
          <w:tcPr>
            <w:tcW w:w="5165" w:type="dxa"/>
            <w:tcBorders>
              <w:left w:val="single" w:sz="4" w:space="0" w:color="000000"/>
              <w:bottom w:val="single" w:sz="4" w:space="0" w:color="000000"/>
              <w:right w:val="single" w:sz="4" w:space="0" w:color="000000"/>
            </w:tcBorders>
          </w:tcPr>
          <w:p>
            <w:pPr>
              <w:pStyle w:val="ConsPlusNormal"/>
              <w:widowControl w:val="false"/>
              <w:jc w:val="both"/>
              <w:rPr/>
            </w:pPr>
            <w:r>
              <w:rPr/>
              <w:t>Приказ по расчету нормативных затрат</w:t>
            </w:r>
          </w:p>
        </w:tc>
        <w:tc>
          <w:tcPr>
            <w:tcW w:w="1479" w:type="dxa"/>
            <w:tcBorders>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left w:val="single" w:sz="4" w:space="0" w:color="000000"/>
              <w:bottom w:val="single" w:sz="4" w:space="0" w:color="000000"/>
              <w:right w:val="single" w:sz="4" w:space="0" w:color="000000"/>
            </w:tcBorders>
          </w:tcPr>
          <w:p>
            <w:pPr>
              <w:pStyle w:val="ConsPlusNormal"/>
              <w:widowControl w:val="false"/>
              <w:jc w:val="center"/>
              <w:rPr/>
            </w:pPr>
            <w:r>
              <w:rPr/>
              <w:t>9.</w:t>
            </w:r>
          </w:p>
        </w:tc>
        <w:tc>
          <w:tcPr>
            <w:tcW w:w="5165" w:type="dxa"/>
            <w:tcBorders>
              <w:left w:val="single" w:sz="4" w:space="0" w:color="000000"/>
              <w:bottom w:val="single" w:sz="4" w:space="0" w:color="000000"/>
              <w:right w:val="single" w:sz="4" w:space="0" w:color="000000"/>
            </w:tcBorders>
          </w:tcPr>
          <w:p>
            <w:pPr>
              <w:pStyle w:val="ConsPlusNormal"/>
              <w:widowControl w:val="false"/>
              <w:jc w:val="both"/>
              <w:rPr/>
            </w:pPr>
            <w:r>
              <w:rPr/>
              <w:t>Соглашения (дополнительные соглашения) на предоставление субсидий, заключенные на год, в котором передается бухгалтерское обслуживание</w:t>
            </w:r>
          </w:p>
        </w:tc>
        <w:tc>
          <w:tcPr>
            <w:tcW w:w="1479" w:type="dxa"/>
            <w:tcBorders>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10.</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План финансово-хозяйственной деятельности, изменения к плану финансово-хозяйственной деятельности, расчеты и обоснования к плану финансово-хозяйственной деятельности, приказ по порядку ведения плана финансово-хозяйственной деятельности (при наличии) на год, в котором передается бухгалтерское обслуживание</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trike/>
              </w:rPr>
            </w:pPr>
            <w:r>
              <w:rPr/>
              <w:t>11.</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hd w:fill="DDE8CB" w:val="clear"/>
              </w:rPr>
            </w:pPr>
            <w:r>
              <w:rPr/>
              <w:t>Приказ об определении перечней особо ценного движимого имущества</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trike/>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strike/>
              </w:rPr>
            </w:pPr>
            <w:r>
              <w:rPr>
                <w:strike/>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strike/>
              </w:rPr>
            </w:pPr>
            <w:r>
              <w:rPr>
                <w:strike/>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trike/>
              </w:rPr>
            </w:pPr>
            <w:r>
              <w:rPr/>
              <w:t>12.</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strike/>
              </w:rPr>
            </w:pPr>
            <w:r>
              <w:rPr/>
              <w:t>Положение о приносящей доход деятельности, перечень видов услуг (работ, готовой продукции и др.), документов, подтверждающих применение льгот для расчета налогооблагаемой базы, перечень доходов от реализации и внереализационных доходов и расходов:</w:t>
            </w:r>
          </w:p>
          <w:p>
            <w:pPr>
              <w:pStyle w:val="ConsPlusNormal"/>
              <w:widowControl w:val="false"/>
              <w:jc w:val="both"/>
              <w:rPr/>
            </w:pPr>
            <w:r>
              <w:rPr/>
              <w:t>- непосредственно связанных с осуществлением приносящей доход деятельности и направленных на получение собственных доходов;</w:t>
            </w:r>
          </w:p>
          <w:p>
            <w:pPr>
              <w:pStyle w:val="ConsPlusNormal"/>
              <w:widowControl w:val="false"/>
              <w:jc w:val="both"/>
              <w:rPr/>
            </w:pPr>
            <w:r>
              <w:rPr/>
              <w:t>- расходы, которые не могут быть непосредственно отнесены на затраты по конкретному виду деятельности и подлежат распределению;</w:t>
            </w:r>
          </w:p>
          <w:p>
            <w:pPr>
              <w:pStyle w:val="ConsPlusNormal"/>
              <w:widowControl w:val="false"/>
              <w:jc w:val="both"/>
              <w:rPr/>
            </w:pPr>
            <w:r>
              <w:rPr/>
              <w:t>- расходы, связанные исключительно с деятельностью по выполнению государственного задания, финансовое обеспечение которой осуществляется за счет целевых средств и не учитываются при налогообложении</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strike/>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strike/>
              </w:rPr>
            </w:pPr>
            <w:r>
              <w:rPr>
                <w:strike/>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strike/>
              </w:rPr>
            </w:pPr>
            <w:r>
              <w:rPr>
                <w:strike/>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13.</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Действующие договоры банковского счета, депозитного счета</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копии</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14.</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Регистры бухгалтерского бюджетного учета: главная книга, оборотные ведомости (в том числе по материально-ответственным лицам) по состоянию на 1 января года, в котором передается бухгалтерское обслуживание и на дату передачи бухгалтерского обслуживания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15.</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Реестры закупок товаров, работ, услуг, осуществляемых Субъектом централизованного учета без заключения государственного контракта, договоры возмездного оказания услуг (консультационных, информационных, услуг по обучению и др.) на год, в котором передается бухгалтерское обслуживание</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16.</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Акты сверок взаимных расчетов по состоянию на 1 января года, в котором передается бухгалтерское обслуживание и на дату передачи бухгалтерского обслуживания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17.</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Налоговые декларации (расчеты) юридических лиц по всем видам налогов, налоговые декларации и расчеты авансовых платежей по всем видам налогов, налоговые карточки по учету доходов и налога на доходы физических лиц, декларации и расчеты авансовых платежей по страховым взносам, документы (списки объектов налогообложения, налоговые регистры, перечни льгот, объяснения, сведения, расчеты) по расчету налоговой базы юридическими лицами за налоговый период по состоянию на 1 января года, в котором передается бухгалтерское обслуживание, и ежеквартальные - до даты передачи бухгалтерского обслуживания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18.</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Договоры о материальной ответственности материально ответственных лиц</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19.</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Статистические отчеты и сведения по состоянию на 1 января года, в котором передается бухгалтерское обслуживание, и ежеквартальные – до даты передачи бухгалтерского обслуживания</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56"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20.</w:t>
            </w:r>
          </w:p>
        </w:tc>
        <w:tc>
          <w:tcPr>
            <w:tcW w:w="516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График предоставления отпусков на год, в котором передается бухгалтерское обслуживание</w:t>
            </w:r>
          </w:p>
        </w:tc>
        <w:tc>
          <w:tcPr>
            <w:tcW w:w="1479"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копия</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41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bl>
    <w:p>
      <w:pPr>
        <w:pStyle w:val="ConsPlusNormal"/>
        <w:jc w:val="both"/>
        <w:rPr/>
      </w:pPr>
      <w:r>
        <w:rPr/>
      </w:r>
    </w:p>
    <w:p>
      <w:pPr>
        <w:pStyle w:val="ConsPlusNonformat"/>
        <w:jc w:val="both"/>
        <w:rPr/>
      </w:pPr>
      <w:r>
        <w:rPr/>
        <w:t xml:space="preserve">   </w:t>
      </w:r>
      <w:r>
        <w:rPr>
          <w:rFonts w:cs="Arial" w:ascii="Arial" w:hAnsi="Arial"/>
        </w:rPr>
        <w:t xml:space="preserve"> </w:t>
      </w:r>
      <w:r>
        <w:rPr>
          <w:rFonts w:cs="Arial" w:ascii="Arial" w:hAnsi="Arial"/>
        </w:rPr>
        <w:t>Данный  акт  составлен  в  двух  экземплярах,  по одному экземпляру для каждой из сторон.</w:t>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r>
    </w:p>
    <w:p>
      <w:pPr>
        <w:pStyle w:val="ConsPlusNonformat"/>
        <w:jc w:val="both"/>
        <w:rPr>
          <w:rFonts w:ascii="Arial" w:hAnsi="Arial" w:cs="Arial"/>
        </w:rPr>
      </w:pPr>
      <w:r>
        <w:rPr>
          <w:rFonts w:cs="Arial" w:ascii="Arial" w:hAnsi="Arial"/>
        </w:rPr>
        <w:t>Документы передал:                                       Документы принял:</w:t>
      </w:r>
    </w:p>
    <w:p>
      <w:pPr>
        <w:pStyle w:val="ConsPlusNonformat"/>
        <w:jc w:val="both"/>
        <w:rPr>
          <w:rFonts w:ascii="Arial" w:hAnsi="Arial" w:cs="Arial"/>
        </w:rPr>
      </w:pPr>
      <w:r>
        <w:rPr>
          <w:rFonts w:cs="Arial" w:ascii="Arial" w:hAnsi="Arial"/>
        </w:rPr>
        <w:t>____________________________________  _____________________________________</w:t>
      </w:r>
    </w:p>
    <w:p>
      <w:pPr>
        <w:pStyle w:val="ConsPlusNonformat"/>
        <w:jc w:val="both"/>
        <w:rPr>
          <w:rFonts w:ascii="Arial" w:hAnsi="Arial" w:cs="Arial"/>
        </w:rPr>
      </w:pPr>
      <w:r>
        <w:rPr>
          <w:rFonts w:cs="Arial" w:ascii="Arial" w:hAnsi="Arial"/>
        </w:rPr>
        <w:t>____________________________________  _____________________________________</w:t>
      </w:r>
    </w:p>
    <w:p>
      <w:pPr>
        <w:pStyle w:val="ConsPlusNonformat"/>
        <w:jc w:val="both"/>
        <w:rPr>
          <w:rFonts w:ascii="Arial" w:hAnsi="Arial" w:cs="Arial"/>
        </w:rPr>
      </w:pPr>
      <w:r>
        <w:rPr>
          <w:rFonts w:cs="Arial" w:ascii="Arial" w:hAnsi="Arial"/>
        </w:rPr>
        <w:t>____________________________________  _____________________________________</w:t>
      </w:r>
    </w:p>
    <w:p>
      <w:pPr>
        <w:pStyle w:val="ConsPlusNormal"/>
        <w:jc w:val="both"/>
        <w:rPr/>
      </w:pPr>
      <w:r>
        <w:rPr/>
      </w:r>
    </w:p>
    <w:p>
      <w:pPr>
        <w:pStyle w:val="Normal"/>
        <w:spacing w:lineRule="auto" w:line="240" w:before="0" w:after="0"/>
        <w:rPr>
          <w:rFonts w:ascii="Arial" w:hAnsi="Arial" w:eastAsia="" w:cs="Arial" w:eastAsiaTheme="minorEastAsia"/>
          <w:sz w:val="20"/>
          <w:lang w:eastAsia="ru-RU"/>
        </w:rPr>
      </w:pPr>
      <w:r>
        <w:rPr>
          <w:rFonts w:eastAsia="" w:cs="Arial" w:eastAsiaTheme="minorEastAsia" w:ascii="Arial" w:hAnsi="Arial"/>
          <w:sz w:val="20"/>
          <w:lang w:eastAsia="ru-RU"/>
        </w:rPr>
      </w:r>
      <w:r>
        <w:br w:type="page"/>
      </w:r>
    </w:p>
    <w:p>
      <w:pPr>
        <w:pStyle w:val="ConsPlusNormal"/>
        <w:numPr>
          <w:ilvl w:val="0"/>
          <w:numId w:val="0"/>
        </w:numPr>
        <w:ind w:left="0" w:hanging="0"/>
        <w:jc w:val="right"/>
        <w:outlineLvl w:val="1"/>
        <w:rPr/>
      </w:pPr>
      <w:r>
        <w:rPr/>
        <w:t>Приложение N 6</w:t>
      </w:r>
    </w:p>
    <w:p>
      <w:pPr>
        <w:pStyle w:val="ConsPlusNormal"/>
        <w:jc w:val="right"/>
        <w:rPr/>
      </w:pPr>
      <w:r>
        <w:rPr/>
        <w:t xml:space="preserve">к Регламенту взаимодействия между </w:t>
      </w:r>
    </w:p>
    <w:p>
      <w:pPr>
        <w:pStyle w:val="ConsPlusNormal"/>
        <w:jc w:val="right"/>
        <w:rPr/>
      </w:pPr>
      <w:r>
        <w:rPr/>
        <w:t>бюджетными, автономными  учреждениями</w:t>
      </w:r>
    </w:p>
    <w:p>
      <w:pPr>
        <w:pStyle w:val="ConsPlusNormal"/>
        <w:jc w:val="right"/>
        <w:rPr/>
      </w:pPr>
      <w:r>
        <w:rPr/>
        <w:t>Чувашской Республики и казенным учреждением</w:t>
      </w:r>
    </w:p>
    <w:p>
      <w:pPr>
        <w:pStyle w:val="ConsPlusNormal"/>
        <w:jc w:val="right"/>
        <w:rPr/>
      </w:pPr>
      <w:r>
        <w:rPr/>
        <w:t>Чувашской Республики "Республиканский центр</w:t>
      </w:r>
    </w:p>
    <w:p>
      <w:pPr>
        <w:pStyle w:val="ConsPlusNormal"/>
        <w:jc w:val="right"/>
        <w:rPr/>
      </w:pPr>
      <w:r>
        <w:rPr/>
        <w:t xml:space="preserve">бухгалтерского учета" в случае заключения </w:t>
      </w:r>
    </w:p>
    <w:p>
      <w:pPr>
        <w:pStyle w:val="ConsPlusNormal"/>
        <w:jc w:val="right"/>
        <w:rPr/>
      </w:pPr>
      <w:r>
        <w:rPr/>
        <w:t xml:space="preserve">договоров об оказании услуг по ведению </w:t>
      </w:r>
    </w:p>
    <w:p>
      <w:pPr>
        <w:pStyle w:val="ConsPlusNormal"/>
        <w:jc w:val="right"/>
        <w:rPr/>
      </w:pPr>
      <w:r>
        <w:rPr/>
        <w:t xml:space="preserve">бухгалтерского учета, включая составление и </w:t>
      </w:r>
    </w:p>
    <w:p>
      <w:pPr>
        <w:pStyle w:val="ConsPlusNormal"/>
        <w:jc w:val="right"/>
        <w:rPr/>
      </w:pPr>
      <w:r>
        <w:rPr/>
        <w:t xml:space="preserve">представление бухгалтерской (финансовой) </w:t>
      </w:r>
    </w:p>
    <w:p>
      <w:pPr>
        <w:pStyle w:val="ConsPlusNormal"/>
        <w:jc w:val="right"/>
        <w:rPr/>
      </w:pPr>
      <w:r>
        <w:rPr/>
        <w:t xml:space="preserve">отчетности, иной обязательной отчетности, </w:t>
      </w:r>
    </w:p>
    <w:p>
      <w:pPr>
        <w:pStyle w:val="ConsPlusNormal"/>
        <w:jc w:val="right"/>
        <w:rPr/>
      </w:pPr>
      <w:r>
        <w:rPr/>
        <w:t xml:space="preserve">формируемой на основании данных бухгалтерского </w:t>
      </w:r>
    </w:p>
    <w:p>
      <w:pPr>
        <w:pStyle w:val="ConsPlusNormal"/>
        <w:jc w:val="right"/>
        <w:rPr/>
      </w:pPr>
      <w:r>
        <w:rPr/>
        <w:t xml:space="preserve">учета, по обеспечению представления такой </w:t>
      </w:r>
    </w:p>
    <w:p>
      <w:pPr>
        <w:pStyle w:val="ConsPlusNormal"/>
        <w:jc w:val="right"/>
        <w:rPr/>
      </w:pPr>
      <w:r>
        <w:rPr/>
        <w:t xml:space="preserve">отчетности в соответствующие государственные </w:t>
      </w:r>
    </w:p>
    <w:p>
      <w:pPr>
        <w:pStyle w:val="ConsPlusNormal"/>
        <w:jc w:val="right"/>
        <w:rPr/>
      </w:pPr>
      <w:r>
        <w:rPr/>
        <w:t>(муниципальные) органы</w:t>
      </w:r>
    </w:p>
    <w:p>
      <w:pPr>
        <w:pStyle w:val="ConsPlusNormal"/>
        <w:jc w:val="both"/>
        <w:rPr/>
      </w:pPr>
      <w:r>
        <w:rPr/>
      </w:r>
    </w:p>
    <w:p>
      <w:pPr>
        <w:pStyle w:val="ConsPlusNonformat"/>
        <w:jc w:val="both"/>
        <w:rPr/>
      </w:pPr>
      <w:bookmarkStart w:id="9" w:name="P1445"/>
      <w:bookmarkEnd w:id="9"/>
      <w:r>
        <w:rPr/>
        <w:t xml:space="preserve">                             </w:t>
      </w:r>
      <w:r>
        <w:rPr>
          <w:rFonts w:cs="Arial" w:ascii="Arial" w:hAnsi="Arial"/>
          <w:b/>
        </w:rPr>
        <w:t>Реестр документов</w:t>
      </w:r>
    </w:p>
    <w:p>
      <w:pPr>
        <w:pStyle w:val="ConsPlusNormal"/>
        <w:jc w:val="both"/>
        <w:rPr/>
      </w:pPr>
      <w:r>
        <w:rPr/>
      </w:r>
    </w:p>
    <w:tbl>
      <w:tblPr>
        <w:tblW w:w="9068"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564"/>
        <w:gridCol w:w="5108"/>
        <w:gridCol w:w="1695"/>
        <w:gridCol w:w="1700"/>
      </w:tblGrid>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N</w:t>
            </w:r>
          </w:p>
          <w:p>
            <w:pPr>
              <w:pStyle w:val="ConsPlusNormal"/>
              <w:widowControl w:val="false"/>
              <w:jc w:val="center"/>
              <w:rPr/>
            </w:pPr>
            <w:r>
              <w:rPr/>
              <w:t>п/п</w:t>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Наименование документа</w:t>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Дата документа</w:t>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jc w:val="center"/>
              <w:rPr/>
            </w:pPr>
            <w:r>
              <w:rPr/>
              <w:t>Номер документа</w:t>
            </w:r>
          </w:p>
        </w:tc>
      </w:tr>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r>
        <w:trPr/>
        <w:tc>
          <w:tcPr>
            <w:tcW w:w="564"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5108" w:type="dxa"/>
            <w:tcBorders>
              <w:top w:val="single" w:sz="4" w:space="0" w:color="000000"/>
              <w:left w:val="single" w:sz="4" w:space="0" w:color="000000"/>
              <w:bottom w:val="single" w:sz="4" w:space="0" w:color="000000"/>
              <w:right w:val="single" w:sz="4" w:space="0" w:color="000000"/>
            </w:tcBorders>
          </w:tcPr>
          <w:p>
            <w:pPr>
              <w:pStyle w:val="ConsPlusNormal"/>
              <w:widowControl w:val="false"/>
              <w:jc w:val="both"/>
              <w:rPr/>
            </w:pPr>
            <w:r>
              <w:rPr/>
              <w:t>Всего документов:</w:t>
            </w:r>
          </w:p>
        </w:tc>
        <w:tc>
          <w:tcPr>
            <w:tcW w:w="1695"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c>
          <w:tcPr>
            <w:tcW w:w="1700" w:type="dxa"/>
            <w:tcBorders>
              <w:top w:val="single" w:sz="4" w:space="0" w:color="000000"/>
              <w:left w:val="single" w:sz="4" w:space="0" w:color="000000"/>
              <w:bottom w:val="single" w:sz="4" w:space="0" w:color="000000"/>
              <w:right w:val="single" w:sz="4" w:space="0" w:color="000000"/>
            </w:tcBorders>
          </w:tcPr>
          <w:p>
            <w:pPr>
              <w:pStyle w:val="ConsPlusNormal"/>
              <w:widowControl w:val="false"/>
              <w:rPr/>
            </w:pPr>
            <w:r>
              <w:rPr/>
            </w:r>
          </w:p>
        </w:tc>
      </w:tr>
    </w:tbl>
    <w:p>
      <w:pPr>
        <w:pStyle w:val="ConsPlusNormal"/>
        <w:jc w:val="both"/>
        <w:rPr/>
      </w:pPr>
      <w:r>
        <w:rPr/>
      </w:r>
    </w:p>
    <w:p>
      <w:pPr>
        <w:pStyle w:val="ConsPlusNonformat"/>
        <w:rPr/>
      </w:pPr>
      <w:r>
        <w:rPr/>
        <w:t xml:space="preserve">      </w:t>
      </w:r>
      <w:r>
        <w:rPr>
          <w:rFonts w:cs="Arial" w:ascii="Arial" w:hAnsi="Arial"/>
        </w:rPr>
        <w:t xml:space="preserve"> </w:t>
      </w:r>
    </w:p>
    <w:tbl>
      <w:tblPr>
        <w:tblW w:w="5000" w:type="pct"/>
        <w:jc w:val="left"/>
        <w:tblInd w:w="0" w:type="dxa"/>
        <w:tblLayout w:type="fixed"/>
        <w:tblCellMar>
          <w:top w:w="0" w:type="dxa"/>
          <w:left w:w="0" w:type="dxa"/>
          <w:bottom w:w="0" w:type="dxa"/>
          <w:right w:w="0" w:type="dxa"/>
        </w:tblCellMar>
        <w:tblLook w:firstRow="1" w:noVBand="1" w:lastRow="0" w:firstColumn="1" w:lastColumn="0" w:noHBand="0" w:val="04a0"/>
      </w:tblPr>
      <w:tblGrid>
        <w:gridCol w:w="4677"/>
        <w:gridCol w:w="4677"/>
      </w:tblGrid>
      <w:tr>
        <w:trPr/>
        <w:tc>
          <w:tcPr>
            <w:tcW w:w="4677" w:type="dxa"/>
            <w:tcBorders/>
          </w:tcPr>
          <w:p>
            <w:pPr>
              <w:pStyle w:val="ConsPlusNonformat"/>
              <w:widowControl w:val="false"/>
              <w:rPr/>
            </w:pPr>
            <w:r>
              <w:rPr>
                <w:rFonts w:cs="Arial" w:ascii="Arial" w:hAnsi="Arial"/>
              </w:rPr>
              <w:t xml:space="preserve"> </w:t>
            </w:r>
            <w:r>
              <w:rPr>
                <w:rFonts w:cs="Arial" w:ascii="Arial" w:hAnsi="Arial"/>
              </w:rPr>
              <w:t>Документы передал:</w:t>
            </w:r>
          </w:p>
        </w:tc>
        <w:tc>
          <w:tcPr>
            <w:tcW w:w="4677" w:type="dxa"/>
            <w:tcBorders/>
          </w:tcPr>
          <w:p>
            <w:pPr>
              <w:pStyle w:val="ConsPlusNonformat"/>
              <w:widowControl w:val="false"/>
              <w:rPr/>
            </w:pPr>
            <w:r>
              <w:rPr>
                <w:rFonts w:cs="Arial" w:ascii="Arial" w:hAnsi="Arial"/>
              </w:rPr>
              <w:t>Документы получил:</w:t>
            </w:r>
          </w:p>
        </w:tc>
      </w:tr>
      <w:tr>
        <w:trPr/>
        <w:tc>
          <w:tcPr>
            <w:tcW w:w="4677" w:type="dxa"/>
            <w:tcBorders/>
          </w:tcPr>
          <w:p>
            <w:pPr>
              <w:pStyle w:val="ConsPlusNonformat"/>
              <w:widowControl w:val="false"/>
              <w:rPr>
                <w:rFonts w:ascii="Arial" w:hAnsi="Arial" w:cs="Arial"/>
              </w:rPr>
            </w:pPr>
            <w:r>
              <w:rPr>
                <w:rFonts w:cs="Arial" w:ascii="Arial" w:hAnsi="Arial"/>
              </w:rPr>
              <w:t>____________________________________    (Ф.И.О. уполномоченного работника                   Субъекта централизованного учета)</w:t>
            </w:r>
          </w:p>
          <w:p>
            <w:pPr>
              <w:pStyle w:val="ConsPlusNonformat"/>
              <w:widowControl w:val="false"/>
              <w:rPr>
                <w:rFonts w:ascii="Arial" w:hAnsi="Arial" w:cs="Arial"/>
              </w:rPr>
            </w:pPr>
            <w:r>
              <w:rPr>
                <w:rFonts w:cs="Arial" w:ascii="Arial" w:hAnsi="Arial"/>
              </w:rPr>
              <w:t xml:space="preserve">  </w:t>
            </w:r>
            <w:r>
              <w:rPr>
                <w:rFonts w:cs="Arial" w:ascii="Arial" w:hAnsi="Arial"/>
              </w:rPr>
              <w:t>"___" _________ 20___ г.</w:t>
            </w:r>
          </w:p>
        </w:tc>
        <w:tc>
          <w:tcPr>
            <w:tcW w:w="4677" w:type="dxa"/>
            <w:tcBorders/>
          </w:tcPr>
          <w:p>
            <w:pPr>
              <w:pStyle w:val="ConsPlusNonformat"/>
              <w:widowControl w:val="false"/>
              <w:rPr>
                <w:rFonts w:ascii="Arial" w:hAnsi="Arial" w:cs="Arial"/>
              </w:rPr>
            </w:pPr>
            <w:r>
              <w:rPr>
                <w:rFonts w:cs="Arial" w:ascii="Arial" w:hAnsi="Arial"/>
              </w:rPr>
              <w:t>_____________________________________</w:t>
            </w:r>
          </w:p>
          <w:p>
            <w:pPr>
              <w:pStyle w:val="ConsPlusNonformat"/>
              <w:widowControl w:val="false"/>
              <w:rPr>
                <w:rFonts w:ascii="Arial" w:hAnsi="Arial" w:cs="Arial"/>
              </w:rPr>
            </w:pPr>
            <w:r>
              <w:rPr>
                <w:rFonts w:cs="Arial" w:ascii="Arial" w:hAnsi="Arial"/>
              </w:rPr>
              <w:t>(Ф.И.О. уполномоченного работника ЦБ)</w:t>
            </w:r>
          </w:p>
          <w:p>
            <w:pPr>
              <w:pStyle w:val="ConsPlusNonformat"/>
              <w:widowControl w:val="false"/>
              <w:rPr>
                <w:rFonts w:ascii="Arial" w:hAnsi="Arial" w:cs="Arial"/>
              </w:rPr>
            </w:pPr>
            <w:r>
              <w:rPr>
                <w:rFonts w:cs="Arial" w:ascii="Arial" w:hAnsi="Arial"/>
              </w:rPr>
            </w:r>
          </w:p>
          <w:p>
            <w:pPr>
              <w:pStyle w:val="ConsPlusNonformat"/>
              <w:widowControl w:val="false"/>
              <w:rPr>
                <w:rFonts w:ascii="Arial" w:hAnsi="Arial" w:cs="Arial"/>
              </w:rPr>
            </w:pPr>
            <w:r>
              <w:rPr>
                <w:rFonts w:cs="Arial" w:ascii="Arial" w:hAnsi="Arial"/>
              </w:rPr>
              <w:t>"___" _________ 20___ г.</w:t>
            </w:r>
          </w:p>
        </w:tc>
      </w:tr>
    </w:tbl>
    <w:p>
      <w:pPr>
        <w:pStyle w:val="ConsPlusNonformat"/>
        <w:rPr>
          <w:rFonts w:ascii="Arial" w:hAnsi="Arial" w:cs="Arial"/>
        </w:rPr>
      </w:pPr>
      <w:r>
        <w:rPr>
          <w:rFonts w:cs="Arial" w:ascii="Arial" w:hAnsi="Arial"/>
        </w:rPr>
      </w:r>
    </w:p>
    <w:p>
      <w:pPr>
        <w:pStyle w:val="ConsPlusNonformat"/>
        <w:rPr/>
      </w:pPr>
      <w:r>
        <w:rPr>
          <w:rFonts w:cs="Arial" w:ascii="Arial" w:hAnsi="Arial"/>
        </w:rPr>
        <w:t xml:space="preserve">                          </w:t>
      </w:r>
    </w:p>
    <w:p>
      <w:pPr>
        <w:pStyle w:val="ConsPlusNonformat"/>
        <w:rPr>
          <w:rFonts w:ascii="Arial" w:hAnsi="Arial" w:cs="Arial"/>
        </w:rPr>
      </w:pPr>
      <w:r>
        <w:rPr>
          <w:rFonts w:cs="Arial" w:ascii="Arial" w:hAnsi="Arial"/>
        </w:rPr>
      </w:r>
    </w:p>
    <w:p>
      <w:pPr>
        <w:pStyle w:val="ConsPlusNonformat"/>
        <w:rPr>
          <w:rFonts w:ascii="Arial" w:hAnsi="Arial" w:cs="Arial"/>
        </w:rPr>
      </w:pPr>
      <w:r>
        <w:rPr>
          <w:rFonts w:cs="Arial" w:ascii="Arial" w:hAnsi="Arial"/>
        </w:rPr>
        <w:t xml:space="preserve">    </w:t>
      </w:r>
    </w:p>
    <w:p>
      <w:pPr>
        <w:pStyle w:val="ConsPlusNonformat"/>
        <w:rPr>
          <w:rFonts w:ascii="Arial" w:hAnsi="Arial" w:cs="Arial"/>
        </w:rPr>
      </w:pPr>
      <w:r>
        <w:rPr>
          <w:rFonts w:cs="Arial" w:ascii="Arial" w:hAnsi="Arial"/>
        </w:rPr>
        <w:t xml:space="preserve">                    </w:t>
      </w:r>
    </w:p>
    <w:p>
      <w:pPr>
        <w:pStyle w:val="ConsPlusNonformat"/>
        <w:rPr>
          <w:rFonts w:ascii="Arial" w:hAnsi="Arial" w:cs="Arial"/>
        </w:rPr>
      </w:pPr>
      <w:r>
        <w:rPr>
          <w:rFonts w:cs="Arial" w:ascii="Arial" w:hAnsi="Arial"/>
        </w:rPr>
      </w:r>
    </w:p>
    <w:p>
      <w:pPr>
        <w:pStyle w:val="ConsPlusNonformat"/>
        <w:rPr>
          <w:rFonts w:ascii="Arial" w:hAnsi="Arial" w:cs="Arial"/>
        </w:rPr>
      </w:pPr>
      <w:r>
        <w:rPr>
          <w:rFonts w:cs="Arial" w:ascii="Arial" w:hAnsi="Arial"/>
        </w:rPr>
        <w:t xml:space="preserve">            </w:t>
      </w:r>
    </w:p>
    <w:p>
      <w:pPr>
        <w:pStyle w:val="ConsPlusNormal"/>
        <w:rPr/>
      </w:pPr>
      <w:r>
        <w:rPr/>
      </w:r>
    </w:p>
    <w:p>
      <w:pPr>
        <w:pStyle w:val="ConsPlusNormal"/>
        <w:rPr/>
      </w:pPr>
      <w:r>
        <w:rPr/>
      </w:r>
    </w:p>
    <w:sectPr>
      <w:type w:val="nextPage"/>
      <w:pgSz w:w="11906" w:h="16838"/>
      <w:pgMar w:left="1701" w:right="850" w:gutter="0" w:header="0" w:top="1134" w:footer="0" w:bottom="1134"/>
      <w:pgNumType w:fmt="decimal"/>
      <w:formProt w:val="false"/>
      <w:titlePg/>
      <w:textDirection w:val="lrTb"/>
      <w:docGrid w:type="default" w:linePitch="1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 w:name="Courier New">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2">
    <w:name w:val="Heading 2"/>
    <w:basedOn w:val="Style16"/>
    <w:next w:val="Style17"/>
    <w:qFormat/>
    <w:pPr>
      <w:numPr>
        <w:ilvl w:val="1"/>
        <w:numId w:val="1"/>
      </w:numPr>
      <w:spacing w:before="200" w:after="120"/>
      <w:outlineLvl w:val="1"/>
    </w:pPr>
    <w:rPr>
      <w:b/>
      <w:bCs/>
      <w:sz w:val="32"/>
      <w:szCs w:val="32"/>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link w:val="BalloonText"/>
    <w:uiPriority w:val="99"/>
    <w:semiHidden/>
    <w:qFormat/>
    <w:rsid w:val="005647cf"/>
    <w:rPr>
      <w:rFonts w:ascii="Tahoma" w:hAnsi="Tahoma" w:cs="Tahoma"/>
      <w:sz w:val="16"/>
      <w:szCs w:val="16"/>
    </w:rPr>
  </w:style>
  <w:style w:type="character" w:styleId="Style14">
    <w:name w:val="Hyperlink"/>
    <w:rPr>
      <w:color w:val="000080"/>
      <w:u w:val="single"/>
    </w:rPr>
  </w:style>
  <w:style w:type="character" w:styleId="Style15">
    <w:name w:val="Emphasis"/>
    <w:qFormat/>
    <w:rPr>
      <w:i/>
      <w:iCs/>
    </w:rPr>
  </w:style>
  <w:style w:type="character" w:styleId="D6e2e5f2eee2eee5e2fbe4e5ebe5ede8e5e4ebffd2e5eaf1f2">
    <w:name w:val="Цd6вe2еe5тf2оeeвe2оeeеe5 вe2ыfbдe4еe5лebеe5нedиe8еe5 дe4лebяff Тd2еe5кeaсf1тf2"/>
    <w:qFormat/>
    <w:rPr/>
  </w:style>
  <w:style w:type="paragraph" w:styleId="Style16" w:customStyle="1">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lang w:val="zxx" w:eastAsia="zxx" w:bidi="zxx"/>
    </w:rPr>
  </w:style>
  <w:style w:type="paragraph" w:styleId="Caption">
    <w:name w:val="caption"/>
    <w:basedOn w:val="Normal"/>
    <w:qFormat/>
    <w:pPr>
      <w:suppressLineNumbers/>
      <w:spacing w:before="120" w:after="120"/>
    </w:pPr>
    <w:rPr>
      <w:rFonts w:cs="Arial"/>
      <w:i/>
      <w:iCs/>
      <w:sz w:val="24"/>
      <w:szCs w:val="24"/>
    </w:rPr>
  </w:style>
  <w:style w:type="paragraph" w:styleId="Indexheading">
    <w:name w:val="index heading"/>
    <w:basedOn w:val="Normal"/>
    <w:qFormat/>
    <w:pPr>
      <w:suppressLineNumbers/>
    </w:pPr>
    <w:rPr>
      <w:rFonts w:cs="Arial"/>
    </w:rPr>
  </w:style>
  <w:style w:type="paragraph" w:styleId="ConsPlusNormal" w:customStyle="1">
    <w:name w:val="ConsPlusNormal"/>
    <w:qFormat/>
    <w:rsid w:val="002d60b1"/>
    <w:pPr>
      <w:widowControl w:val="false"/>
      <w:suppressAutoHyphens w:val="true"/>
      <w:bidi w:val="0"/>
      <w:spacing w:before="0" w:after="0"/>
      <w:jc w:val="left"/>
    </w:pPr>
    <w:rPr>
      <w:rFonts w:ascii="Arial" w:hAnsi="Arial" w:eastAsia="" w:cs="Arial" w:eastAsiaTheme="minorEastAsia"/>
      <w:color w:val="auto"/>
      <w:kern w:val="0"/>
      <w:sz w:val="20"/>
      <w:szCs w:val="22"/>
      <w:lang w:val="ru-RU" w:eastAsia="ru-RU" w:bidi="ar-SA"/>
    </w:rPr>
  </w:style>
  <w:style w:type="paragraph" w:styleId="ConsPlusNonformat" w:customStyle="1">
    <w:name w:val="ConsPlusNonformat"/>
    <w:qFormat/>
    <w:rsid w:val="002d60b1"/>
    <w:pPr>
      <w:widowControl w:val="false"/>
      <w:suppressAutoHyphens w:val="true"/>
      <w:bidi w:val="0"/>
      <w:spacing w:before="0" w:after="0"/>
      <w:jc w:val="left"/>
    </w:pPr>
    <w:rPr>
      <w:rFonts w:ascii="Courier New" w:hAnsi="Courier New" w:eastAsia="" w:cs="Courier New" w:eastAsiaTheme="minorEastAsia"/>
      <w:color w:val="auto"/>
      <w:kern w:val="0"/>
      <w:sz w:val="20"/>
      <w:szCs w:val="22"/>
      <w:lang w:val="ru-RU" w:eastAsia="ru-RU" w:bidi="ar-SA"/>
    </w:rPr>
  </w:style>
  <w:style w:type="paragraph" w:styleId="ConsPlusTitle" w:customStyle="1">
    <w:name w:val="ConsPlusTitle"/>
    <w:qFormat/>
    <w:rsid w:val="002d60b1"/>
    <w:pPr>
      <w:widowControl w:val="false"/>
      <w:suppressAutoHyphens w:val="true"/>
      <w:bidi w:val="0"/>
      <w:spacing w:before="0" w:after="0"/>
      <w:jc w:val="left"/>
    </w:pPr>
    <w:rPr>
      <w:rFonts w:ascii="Arial" w:hAnsi="Arial" w:eastAsia="" w:cs="Arial" w:eastAsiaTheme="minorEastAsia"/>
      <w:b/>
      <w:color w:val="auto"/>
      <w:kern w:val="0"/>
      <w:sz w:val="20"/>
      <w:szCs w:val="22"/>
      <w:lang w:val="ru-RU" w:eastAsia="ru-RU" w:bidi="ar-SA"/>
    </w:rPr>
  </w:style>
  <w:style w:type="paragraph" w:styleId="ConsPlusCell" w:customStyle="1">
    <w:name w:val="ConsPlusCell"/>
    <w:qFormat/>
    <w:rsid w:val="002d60b1"/>
    <w:pPr>
      <w:widowControl w:val="false"/>
      <w:suppressAutoHyphens w:val="true"/>
      <w:bidi w:val="0"/>
      <w:spacing w:before="0" w:after="0"/>
      <w:jc w:val="left"/>
    </w:pPr>
    <w:rPr>
      <w:rFonts w:ascii="Courier New" w:hAnsi="Courier New" w:eastAsia="" w:cs="Courier New" w:eastAsiaTheme="minorEastAsia"/>
      <w:color w:val="auto"/>
      <w:kern w:val="0"/>
      <w:sz w:val="20"/>
      <w:szCs w:val="22"/>
      <w:lang w:val="ru-RU" w:eastAsia="ru-RU" w:bidi="ar-SA"/>
    </w:rPr>
  </w:style>
  <w:style w:type="paragraph" w:styleId="ConsPlusDocList" w:customStyle="1">
    <w:name w:val="ConsPlusDocList"/>
    <w:qFormat/>
    <w:rsid w:val="002d60b1"/>
    <w:pPr>
      <w:widowControl w:val="false"/>
      <w:suppressAutoHyphens w:val="true"/>
      <w:bidi w:val="0"/>
      <w:spacing w:before="0" w:after="0"/>
      <w:jc w:val="left"/>
    </w:pPr>
    <w:rPr>
      <w:rFonts w:ascii="Courier New" w:hAnsi="Courier New" w:eastAsia="" w:cs="Courier New" w:eastAsiaTheme="minorEastAsia"/>
      <w:color w:val="auto"/>
      <w:kern w:val="0"/>
      <w:sz w:val="20"/>
      <w:szCs w:val="22"/>
      <w:lang w:val="ru-RU" w:eastAsia="ru-RU" w:bidi="ar-SA"/>
    </w:rPr>
  </w:style>
  <w:style w:type="paragraph" w:styleId="ConsPlusTitlePage" w:customStyle="1">
    <w:name w:val="ConsPlusTitlePage"/>
    <w:qFormat/>
    <w:rsid w:val="002d60b1"/>
    <w:pPr>
      <w:widowControl w:val="false"/>
      <w:suppressAutoHyphens w:val="true"/>
      <w:bidi w:val="0"/>
      <w:spacing w:before="0" w:after="0"/>
      <w:jc w:val="left"/>
    </w:pPr>
    <w:rPr>
      <w:rFonts w:ascii="Tahoma" w:hAnsi="Tahoma" w:eastAsia="" w:cs="Tahoma" w:eastAsiaTheme="minorEastAsia"/>
      <w:color w:val="auto"/>
      <w:kern w:val="0"/>
      <w:sz w:val="20"/>
      <w:szCs w:val="22"/>
      <w:lang w:val="ru-RU" w:eastAsia="ru-RU" w:bidi="ar-SA"/>
    </w:rPr>
  </w:style>
  <w:style w:type="paragraph" w:styleId="ConsPlusJurTerm" w:customStyle="1">
    <w:name w:val="ConsPlusJurTerm"/>
    <w:qFormat/>
    <w:rsid w:val="002d60b1"/>
    <w:pPr>
      <w:widowControl w:val="false"/>
      <w:suppressAutoHyphens w:val="true"/>
      <w:bidi w:val="0"/>
      <w:spacing w:before="0" w:after="0"/>
      <w:jc w:val="left"/>
    </w:pPr>
    <w:rPr>
      <w:rFonts w:ascii="Tahoma" w:hAnsi="Tahoma" w:eastAsia="" w:cs="Tahoma" w:eastAsiaTheme="minorEastAsia"/>
      <w:color w:val="auto"/>
      <w:kern w:val="0"/>
      <w:sz w:val="26"/>
      <w:szCs w:val="22"/>
      <w:lang w:val="ru-RU" w:eastAsia="ru-RU" w:bidi="ar-SA"/>
    </w:rPr>
  </w:style>
  <w:style w:type="paragraph" w:styleId="ConsPlusTextList" w:customStyle="1">
    <w:name w:val="ConsPlusTextList"/>
    <w:qFormat/>
    <w:rsid w:val="002d60b1"/>
    <w:pPr>
      <w:widowControl w:val="false"/>
      <w:suppressAutoHyphens w:val="true"/>
      <w:bidi w:val="0"/>
      <w:spacing w:before="0" w:after="0"/>
      <w:jc w:val="left"/>
    </w:pPr>
    <w:rPr>
      <w:rFonts w:ascii="Arial" w:hAnsi="Arial" w:eastAsia="" w:cs="Arial" w:eastAsiaTheme="minorEastAsia"/>
      <w:color w:val="auto"/>
      <w:kern w:val="0"/>
      <w:sz w:val="20"/>
      <w:szCs w:val="22"/>
      <w:lang w:val="ru-RU" w:eastAsia="ru-RU" w:bidi="ar-SA"/>
    </w:rPr>
  </w:style>
  <w:style w:type="paragraph" w:styleId="BalloonText">
    <w:name w:val="Balloon Text"/>
    <w:basedOn w:val="Normal"/>
    <w:link w:val="Style13"/>
    <w:uiPriority w:val="99"/>
    <w:semiHidden/>
    <w:unhideWhenUsed/>
    <w:qFormat/>
    <w:rsid w:val="005647cf"/>
    <w:pPr>
      <w:spacing w:lineRule="auto" w:line="240" w:before="0" w:after="0"/>
    </w:pPr>
    <w:rPr>
      <w:rFonts w:ascii="Tahoma" w:hAnsi="Tahoma" w:cs="Tahoma"/>
      <w:sz w:val="16"/>
      <w:szCs w:val="16"/>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paragraph" w:styleId="1" w:customStyle="1">
    <w:name w:val="Обычная таблица1"/>
    <w:qFormat/>
    <w:pPr>
      <w:widowControl/>
      <w:suppressAutoHyphens w:val="true"/>
      <w:bidi w:val="0"/>
      <w:spacing w:lineRule="auto" w:line="300" w:before="0" w:after="200"/>
      <w:jc w:val="left"/>
    </w:pPr>
    <w:rPr>
      <w:rFonts w:ascii="Calibri" w:hAnsi="Calibri" w:eastAsia="Times New Roman" w:cs="Times New Roman" w:asciiTheme="minorHAnsi" w:hAnsiTheme="minorHAnsi"/>
      <w:color w:val="auto"/>
      <w:kern w:val="0"/>
      <w:sz w:val="22"/>
      <w:szCs w:val="24"/>
      <w:lang w:val="ru-RU" w:eastAsia="en-US" w:bidi="ar-SA"/>
    </w:rPr>
  </w:style>
  <w:style w:type="paragraph" w:styleId="11" w:customStyle="1">
    <w:name w:val="Простая таблица 11"/>
    <w:basedOn w:val="1"/>
    <w:qFormat/>
    <w:pPr/>
    <w:rPr/>
  </w:style>
  <w:style w:type="paragraph" w:styleId="Style23">
    <w:name w:val="Большой список маркированный"/>
    <w:basedOn w:val="Normal"/>
    <w:qFormat/>
    <w:pPr>
      <w:tabs>
        <w:tab w:val="clear" w:pos="708"/>
        <w:tab w:val="left" w:pos="1276" w:leader="none"/>
      </w:tabs>
      <w:ind w:firstLine="709"/>
    </w:pPr>
    <w:rPr>
      <w:rFonts w:eastAsia="Calibri" w:eastAsiaTheme="minorHAnsi"/>
      <w:szCs w:val="28"/>
      <w:lang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458E0A5EC3A093F93FA828039C91D152E70F7FABE0694F14CDC10D7F8690E46744E72E64B3588C6F828DD09B89f7V9F" TargetMode="External"/><Relationship Id="rId3" Type="http://schemas.openxmlformats.org/officeDocument/2006/relationships/hyperlink" Target="consultantplus://offline/ref=458E0A5EC3A093F93FA828039C91D152E70F7FA9E16C4F14CDC10D7F8690E46744E72E64B3588C6F828DD09B89f7V9F" TargetMode="External"/><Relationship Id="rId4" Type="http://schemas.openxmlformats.org/officeDocument/2006/relationships/hyperlink" Target="consultantplus://offline/ref=458E0A5EC3A093F93FA828039C91D152E70F7FAAE06B4F14CDC10D7F8690E46744E72E64B3588C6F828DD09B89f7V9F" TargetMode="External"/><Relationship Id="rId5" Type="http://schemas.openxmlformats.org/officeDocument/2006/relationships/hyperlink" Target="consultantplus://offline/ref=458E0A5EC3A093F93FA828039C91D152E70F7FABE0694F14CDC10D7F8690E46744E72E64B3588C6F828DD09B89f7V9F" TargetMode="External"/><Relationship Id="rId6" Type="http://schemas.openxmlformats.org/officeDocument/2006/relationships/hyperlink" Target="consultantplus://offline/ref=458E0A5EC3A093F93FA828039C91D152E70F7FA9E16C4F14CDC10D7F8690E46744E72E64B3588C6F828DD09B89f7V9F" TargetMode="External"/><Relationship Id="rId7" Type="http://schemas.openxmlformats.org/officeDocument/2006/relationships/hyperlink" Target="consultantplus://offline/ref=458E0A5EC3A093F93FA828039C91D152E70F7FAAE06B4F14CDC10D7F8690E46744E72E64B3588C6F828DD09B89f7V9F" TargetMode="External"/><Relationship Id="rId8" Type="http://schemas.openxmlformats.org/officeDocument/2006/relationships/hyperlink" Target="consultantplus://offline/ref=458E0A5EC3A093F93FA828039C91D152E70F7DAAE76F4F14CDC10D7F8690E46756E77668B0519564DFC296CE8679D086AC52F57A300DfDV3F" TargetMode="External"/><Relationship Id="rId9" Type="http://schemas.openxmlformats.org/officeDocument/2006/relationships/hyperlink" Target="consultantplus://offline/ref=458E0A5EC3A093F93FA828039C91D152E70F7DAAE76F4F14CDC10D7F8690E46756E77661B95D9A64DFC296CE8679D086AC52F57A300DfDV3F" TargetMode="External"/><Relationship Id="rId10" Type="http://schemas.openxmlformats.org/officeDocument/2006/relationships/hyperlink" Target="consultantplus://offline/ref=458E0A5EC3A093F93FA828039C91D152E70F7DAAE76F4F14CDC10D7F8690E46756E77668B158926E899886CACF2EDD9AAC45EB712E0DD133f5VBF" TargetMode="External"/><Relationship Id="rId11" Type="http://schemas.openxmlformats.org/officeDocument/2006/relationships/hyperlink" Target="consultantplus://offline/ref=458E0A5EC3A093F93FA828039C91D152E70F7FA9E16C4F14CDC10D7F8690E46756E77668B15890688A9886CACF2EDD9AAC45EB712E0DD133f5VBF" TargetMode="External"/><Relationship Id="rId12" Type="http://schemas.openxmlformats.org/officeDocument/2006/relationships/hyperlink" Target="consultantplus://offline/ref=458E0A5EC3A093F93FA828039C91D152E70F7FA9E16C4F14CDC10D7F8690E46744E72E64B3588C6F828DD09B89f7V9F" TargetMode="External"/><Relationship Id="rId13" Type="http://schemas.openxmlformats.org/officeDocument/2006/relationships/hyperlink" Target="consultantplus://offline/ref=458E0A5EC3A093F93FA8360E8AFD8F56EB0623A6E469424394960B28D9C0E23216A7703DE01CC7628993CC9B8265D298AEf5V9F" TargetMode="External"/><Relationship Id="rId14" Type="http://schemas.openxmlformats.org/officeDocument/2006/relationships/hyperlink" Target="consultantplus://offline/ref=458E0A5EC3A093F93FA828039C91D152E70F7FA9E16C4F14CDC10D7F8690E46744E72E64B3588C6F828DD09B89f7V9F" TargetMode="External"/><Relationship Id="rId15" Type="http://schemas.openxmlformats.org/officeDocument/2006/relationships/hyperlink" Target="consultantplus://offline/ref=458E0A5EC3A093F93FA828039C91D152E70F7FA9E16C4F14CDC10D7F8690E46756E77668B553C63ECFC6DF998B65D091B259EB7Af3V2F" TargetMode="External"/><Relationship Id="rId16" Type="http://schemas.openxmlformats.org/officeDocument/2006/relationships/hyperlink" Target="consultantplus://offline/ref=458E0A5EC3A093F93FA828039C91D152E70F7FA9E16C4F14CDC10D7F8690E46756E77668B158916A8C9886CACF2EDD9AAC45EB712E0DD133f5VBF" TargetMode="External"/><Relationship Id="rId17" Type="http://schemas.openxmlformats.org/officeDocument/2006/relationships/hyperlink" Target="consultantplus://offline/ref=458E0A5EC3A093F93FA828039C91D152E70F7FA9E16C4F14CDC10D7F8690E46744E72E64B3588C6F828DD09B89f7V9F" TargetMode="External"/><Relationship Id="rId18" Type="http://schemas.openxmlformats.org/officeDocument/2006/relationships/hyperlink" Target="consultantplus://offline/ref=458E0A5EC3A093F93FA828039C91D152E70F7FA9E16C4F14CDC10D7F8690E46744E72E64B3588C6F828DD09B89f7V9F" TargetMode="External"/><Relationship Id="rId19" Type="http://schemas.openxmlformats.org/officeDocument/2006/relationships/hyperlink" Target="consultantplus://offline/ref=458E0A5EC3A093F93FA828039C91D152E70F7FA9E16C4F14CDC10D7F8690E46756E77668B15890698B9886CACF2EDD9AAC45EB712E0DD133f5VBF" TargetMode="External"/><Relationship Id="rId20" Type="http://schemas.openxmlformats.org/officeDocument/2006/relationships/hyperlink" Target="consultantplus://offline/ref=458E0A5EC3A093F93FA828039C91D152E70F7FA9E16C4F14CDC10D7F8690E46756E77668B1589069829886CACF2EDD9AAC45EB712E0DD133f5VBF" TargetMode="External"/><Relationship Id="rId21" Type="http://schemas.openxmlformats.org/officeDocument/2006/relationships/hyperlink" Target="consultantplus://offline/ref=458E0A5EC3A093F93FA828039C91D152E70F7FA9E16C4F14CDC10D7F8690E46756E77668B1589267899886CACF2EDD9AAC45EB712E0DD133f5VBF" TargetMode="External"/><Relationship Id="rId22" Type="http://schemas.openxmlformats.org/officeDocument/2006/relationships/hyperlink" Target="consultantplus://offline/ref=458E0A5EC3A093F93FA828039C91D152E70F7FA9E16C4F14CDC10D7F8690E46756E77668B1589169839886CACF2EDD9AAC45EB712E0DD133f5VBF" TargetMode="External"/><Relationship Id="rId23" Type="http://schemas.openxmlformats.org/officeDocument/2006/relationships/hyperlink" Target="consultantplus://offline/ref=458E0A5EC3A093F93FA828039C91D152E00474AEE6684F14CDC10D7F8690E46756E77668B158926D8C9886CACF2EDD9AAC45EB712E0DD133f5VBF" TargetMode="External"/><Relationship Id="rId24" Type="http://schemas.openxmlformats.org/officeDocument/2006/relationships/hyperlink" Target="consultantplus://offline/ref=458E0A5EC3A093F93FA828039C91D152E70D7CABEC6E4F14CDC10D7F8690E46756E77668B15A9B6D8B9886CACF2EDD9AAC45EB712E0DD133f5VBF" TargetMode="External"/><Relationship Id="rId25" Type="http://schemas.openxmlformats.org/officeDocument/2006/relationships/hyperlink" Target="consultantplus://offline/ref=458E0A5EC3A093F93FA828039C91D152EA0F79A8EE3B18169C94037A8EC0AC7718A27B69B15A9A64DFC296CE8679D086AC52F57A300DfDV3F" TargetMode="External"/><Relationship Id="rId26" Type="http://schemas.openxmlformats.org/officeDocument/2006/relationships/hyperlink" Target="consultantplus://offline/ref=458E0A5EC3A093F93FA828039C91D152E70D7CABEC6E4F14CDC10D7F8690E46756E77668B158926C8E9886CACF2EDD9AAC45EB712E0DD133f5VBF" TargetMode="External"/><Relationship Id="rId27" Type="http://schemas.openxmlformats.org/officeDocument/2006/relationships/hyperlink" Target="consultantplus://offline/ref=458E0A5EC3A093F93FA828039C91D152E70D7DA9E06B4F14CDC10D7F8690E46756E77668B158916C8E9886CACF2EDD9AAC45EB712E0DD133f5VBF" TargetMode="Externa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88869-F576-46DA-A2B7-2BD4FD5D3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Application>LibreOffice/7.4.2.3$Windows_X86_64 LibreOffice_project/382eef1f22670f7f4118c8c2dd222ec7ad009daf</Application>
  <AppVersion>15.0000</AppVersion>
  <Pages>43</Pages>
  <Words>12448</Words>
  <Characters>94737</Characters>
  <CharactersWithSpaces>106728</CharactersWithSpaces>
  <Paragraphs>990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2023-03-02T12:19:00Z</dcterms:created>
  <dc:creator>ЦБУ Малышев Александр Николаевич</dc:creator>
  <dc:description/>
  <dc:language>ru-RU</dc:language>
  <cp:lastModifiedBy/>
  <cp:lastPrinted>2023-03-09T16:32:30Z</cp:lastPrinted>
  <dcterms:modified xsi:type="dcterms:W3CDTF">2023-03-20T09:30:04Z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