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firstLine="5387" w:left="0" w:right="0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>
      <w:pPr>
        <w:pStyle w:val="style0"/>
        <w:spacing w:after="0" w:before="0" w:line="100" w:lineRule="atLeast"/>
        <w:ind w:firstLine="5387" w:left="0" w:right="0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БУК Батыревский</w:t>
      </w:r>
    </w:p>
    <w:p>
      <w:pPr>
        <w:pStyle w:val="style0"/>
        <w:spacing w:after="0" w:before="0" w:line="100" w:lineRule="atLeast"/>
        <w:ind w:firstLine="5387" w:left="0" w:right="0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историко-     </w:t>
      </w:r>
    </w:p>
    <w:p>
      <w:pPr>
        <w:pStyle w:val="style0"/>
        <w:spacing w:after="0" w:before="0" w:line="100" w:lineRule="atLeast"/>
        <w:ind w:firstLine="5387" w:left="0" w:right="0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этнографический музей «Хлеб» 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В.П.Маллина________</w:t>
      </w:r>
    </w:p>
    <w:p>
      <w:pPr>
        <w:pStyle w:val="style0"/>
        <w:spacing w:after="0" w:before="0" w:line="100" w:lineRule="atLeast"/>
        <w:ind w:firstLine="5387" w:left="0" w:right="0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и условиях доступа граждан к музейным предметам и музейным коллекциям </w:t>
      </w:r>
      <w:bookmarkStart w:id="0" w:name="__DdeLink__197_157087411"/>
      <w:r>
        <w:rPr>
          <w:rFonts w:ascii="Times New Roman" w:hAnsi="Times New Roman"/>
          <w:b/>
          <w:sz w:val="28"/>
          <w:szCs w:val="28"/>
        </w:rPr>
        <w:t>бюджетного учреждения  культуры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Батыревского районного </w:t>
      </w:r>
      <w:r>
        <w:rPr>
          <w:rFonts w:ascii="Times New Roman" w:hAnsi="Times New Roman"/>
          <w:b/>
          <w:bCs/>
          <w:sz w:val="28"/>
          <w:szCs w:val="28"/>
        </w:rPr>
        <w:t xml:space="preserve">историко-этнографического  музея 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«Хлеб» 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Музейные предметы и музейные коллекции, включенные в состав Музейного фонда Российской Федерации и находящиеся в музеях Российской Федерации, открыты для доступа граждан (ст. 44 Конституции Российской Федерации).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Настоящее Положение о порядке и условиях доступа граждан к музейным предметам и музейным коллекциям (далее – Положение)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бюджетного учреждения  культуры Батыревского районного историко-этнографического  музея «Хлеб» и его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структурное подразделение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 - Учреждение) разработано в соответствии с законодательством Российской Федерации в сфере музейного дела; нормативными правовыми документами Министерства культуры Российской Федерации, определяющими единые правила и условия формирования, сохранения, учета и использования музейных предметов, входящих в состав Музейного фонда Российской Федерации, а также внутренними документами, регламентирующими трудовой распорядок Учреждения.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Положение утверждается приказом директора Учреждения и является единым для всех отделов и филиалов Учреждения.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Положение доводится до сведения граждан путем размещения на официальном сайте Учреждения, а также на сайте Государственного каталога Музейного фонда Российской Федерации.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Срок действия Положения не ограничен.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Внесение изменений в Положение, а также прекращение действия Положения оформляются приказом директора Учреждения.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Учреждения включает в себя: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- Административное здание: Чувашская Республика Батыревский район, с. Батырево, ул.Ленина, д. 21;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- Народный краеведческий музей с.Алманчиково: Батыревский район, с.Алманчиково, ул.Центральная, 3</w:t>
      </w:r>
    </w:p>
    <w:p>
      <w:pPr>
        <w:pStyle w:val="style0"/>
        <w:spacing w:after="0" w:before="0" w:line="100" w:lineRule="atLeast"/>
        <w:ind w:hanging="0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и условия доступа граждан на экспозиции и выставки.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Экспозиционные и выставочные залы Учреждения доступны для посещения граждан в часы работы музея. Режим работы устанавливается приказом директора Учреждения. 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Порядок посещения гражданами экспозиционных и выставочных залов также регламентируется приказами директора.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2.3. Информация о режиме работы Учреждения, его отделов и филиалов, цене входных билетов, экскурсионных и других программ, а также контактные телефоны размещаются на странице сайта </w:t>
      </w:r>
      <w:r>
        <w:rPr>
          <w:rFonts w:ascii="Times New Roman" w:hAnsi="Times New Roman"/>
          <w:sz w:val="28"/>
          <w:szCs w:val="28"/>
          <w:lang w:val="ru-RU"/>
        </w:rPr>
        <w:t>Батыревского района.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и условия доступа граждан в фонды Учреждения.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Доступ граждан в фонды Учреждения производится только по предварительному письменному запросу, составленному в произвольной форме.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запросе обязательно указываются: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посещения фондов и использования музейных предметов и их изображений;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выполнения работы;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контактная информация.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Срок рассмотрения письма-запроса составляет 10 (десять) рабочих дней. По истечение указанного срока заявитель получает письменное или устное уведомление о возможности посещения фондов.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посещении фондов заявитель заполняет анкету исследователя (приложение № 1).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Ограничения доступа граждан.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Доступ граждан в экспозиционные и выставочные залы Учреждения и его филиалов может быть ограничен по техническим причинам, а также в связи с проведением специальных мероприятий.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Информация о проведении экстренных противоаварийных работ, связанных с ограничением доступа граждан в экспозиционные и выставочные залы, доводится до граждан в течение 30-45 минут с момента обнаружения технических неисправностей.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Информация об ограничении доступа граждан в экспозиционные и выставочные залы Учреждения и его филиалов публикуется на сайте Учреждения, а также в зонах приема посетителей не позднее, чем за 5 рабочих дней до начала мероприятия.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Ограничения доступа граждан к музейным предметам, хранящимся в фондах Учреждения, производятся по следующим основаниям: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неудовлетворительное состояние сохранности музейных предметов и музейных коллекций;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 реставрационных работ;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нахождение музейного предмета или музейной коллекции на временной (постоянной) экспозиции в других организациях;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предусмотренные законодательством Российской Федерации основания.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Доступ к предметам, находящимся в фондохранилищах Учреждения во временном пользовании, возможен только с разрешения владельцев данных предметов.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Порядок предоставления неисключительного права публикации музейных предметов.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Неисключительное право публикации музейных предметов (далее – право публикации) предоставляется заявителям в договорном порядке только по предварительному письменному запросу, составленному в произвольной форме.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запросе обязательно указываются: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посещения фондов и использования музейных предметов и их изображений;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выполнения работы;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контактная информация.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публикации музейных предметов ссылка на принадлежность предметов Учреждения обязательна.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Право первой публикации музейных предметов и музейных коллекций, находящихся в фондах Учреждения, принадлежит Учреждения.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При использовании изображений предметов, опубликованных Учреждения в сети Интернет, </w:t>
      </w:r>
      <w:bookmarkStart w:id="1" w:name="OLE_LINK1"/>
      <w:bookmarkStart w:id="2" w:name="OLE_LINK2"/>
      <w:r>
        <w:rPr>
          <w:rFonts w:ascii="Times New Roman" w:hAnsi="Times New Roman"/>
          <w:sz w:val="28"/>
          <w:szCs w:val="28"/>
        </w:rPr>
        <w:t>ссылка на принадлежность предметов и изображений Учреждения обязательна</w:t>
      </w:r>
      <w:bookmarkEnd w:id="1"/>
      <w:bookmarkEnd w:id="2"/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Особые условия.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Для частных и юридических лиц Учреждения не производят материальную оценку предметов и не проводят их историко-культурную, художественную, научную и иную экспертизу. Исключение составляют музеи Чувашской Республики.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Производство изобразительной, печатной, сувенирной и другой тиражированной продукции и товаров народного потребления с использованием изображений музейных предметов и музейных коллекций, зданий Учреждения, объектов, расположенных на территориях Учреждения, а также с использованием их названий и символики, осуществляется с разрешения дирекции музея по предварительному письменному обращению (см. п. 5.1 настоящего Положения).</w:t>
      </w:r>
    </w:p>
    <w:p>
      <w:pPr>
        <w:pStyle w:val="style0"/>
        <w:pageBreakBefore/>
        <w:spacing w:after="0" w:before="0" w:line="100" w:lineRule="atLeast"/>
        <w:ind w:firstLine="851" w:left="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686" w:right="0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pStyle w:val="style0"/>
        <w:spacing w:after="0" w:before="0" w:line="100" w:lineRule="atLeast"/>
        <w:ind w:hanging="0" w:left="3686" w:right="0"/>
        <w:contextualSpacing w:val="fals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686" w:right="0"/>
        <w:contextualSpacing w:val="false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порядке и условиях доступа граждан к музейным предметам и музейным коллекциям БУК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Батыревский районный историко-этнографический  музей «Хлеб»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исследователя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7"/>
        <w:spacing w:after="280" w:before="280" w:line="274" w:lineRule="atLeast"/>
        <w:ind w:firstLine="150" w:left="0" w:right="20"/>
        <w:contextualSpacing w:val="false"/>
        <w:rPr>
          <w:sz w:val="28"/>
          <w:szCs w:val="28"/>
        </w:rPr>
      </w:pPr>
      <w:r>
        <w:rPr>
          <w:sz w:val="28"/>
          <w:szCs w:val="28"/>
        </w:rPr>
        <w:t xml:space="preserve">От «____»____________20___ г. 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Фамилия __________________________________________________________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Имя ______________________________________________________________ Отчество__________________________________________________________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_____________________________________________________</w:t>
      </w:r>
    </w:p>
    <w:p>
      <w:pPr>
        <w:pStyle w:val="style27"/>
        <w:spacing w:after="280" w:before="280" w:line="240" w:lineRule="atLeast"/>
        <w:ind w:firstLine="150" w:left="0" w:right="23"/>
        <w:contextualSpacing w:val="false"/>
        <w:rPr/>
      </w:pPr>
      <w:r>
        <w:rPr/>
      </w:r>
    </w:p>
    <w:p>
      <w:pPr>
        <w:pStyle w:val="style27"/>
        <w:spacing w:after="280" w:before="280" w:line="240" w:lineRule="atLeast"/>
        <w:ind w:firstLine="15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Место работы (учёбы) и должность ________________________________________________________________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pStyle w:val="style27"/>
        <w:spacing w:after="280" w:before="280" w:line="240" w:lineRule="atLeast"/>
        <w:ind w:firstLine="150" w:left="0" w:right="23"/>
        <w:contextualSpacing w:val="false"/>
        <w:rPr/>
      </w:pPr>
      <w:r>
        <w:rPr/>
      </w:r>
    </w:p>
    <w:p>
      <w:pPr>
        <w:pStyle w:val="style27"/>
        <w:spacing w:after="280" w:before="280" w:line="240" w:lineRule="atLeast"/>
        <w:ind w:firstLine="15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Наименование организации, направившей исследователя, её адрес: __________________________________________________________________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Образование, учёная степень _________________________________________________________________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Тема, хронологические рамки исследования _________________________________________________________________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Адрес проживания: ____________________________________________________________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Телефон домашний 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Служебный ___________________________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Телефон сотовый 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e-mail ______________________________</w:t>
      </w:r>
    </w:p>
    <w:p>
      <w:pPr>
        <w:pStyle w:val="style27"/>
        <w:spacing w:after="280" w:before="280" w:line="240" w:lineRule="atLeast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Наименование документа, удостоверяющего личность ________________________________</w:t>
      </w:r>
    </w:p>
    <w:p>
      <w:pPr>
        <w:pStyle w:val="style27"/>
        <w:spacing w:after="280" w:before="280" w:line="240" w:lineRule="atLeast"/>
        <w:ind w:firstLine="15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Серия, номер __________________________________________________________________</w:t>
      </w:r>
    </w:p>
    <w:p>
      <w:pPr>
        <w:pStyle w:val="style27"/>
        <w:spacing w:after="280" w:before="280" w:line="240" w:lineRule="atLeast"/>
        <w:ind w:firstLine="150" w:left="0" w:right="23"/>
        <w:contextualSpacing w:val="false"/>
        <w:rPr/>
      </w:pPr>
      <w:r>
        <w:rPr/>
      </w:r>
    </w:p>
    <w:p>
      <w:pPr>
        <w:pStyle w:val="style27"/>
        <w:spacing w:after="280" w:before="280"/>
        <w:ind w:hanging="0" w:left="0" w:right="23"/>
        <w:contextualSpacing w:val="false"/>
        <w:rPr>
          <w:sz w:val="28"/>
          <w:szCs w:val="28"/>
        </w:rPr>
      </w:pPr>
      <w:r>
        <w:rPr>
          <w:sz w:val="28"/>
          <w:szCs w:val="28"/>
        </w:rPr>
        <w:t>Дата _____________________                 Подпись _____________________</w:t>
      </w:r>
    </w:p>
    <w:p>
      <w:pPr>
        <w:pStyle w:val="style27"/>
        <w:shd w:fill="FFFFFF" w:val="clear"/>
        <w:spacing w:after="280" w:before="280"/>
        <w:ind w:firstLine="150" w:left="0" w:right="0"/>
        <w:contextualSpacing w:val="false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style0"/>
        <w:spacing w:after="0" w:before="0" w:line="100" w:lineRule="atLeast"/>
        <w:ind w:hanging="0" w:left="3686" w:right="0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pStyle w:val="style0"/>
        <w:spacing w:after="0" w:before="0" w:line="100" w:lineRule="atLeast"/>
        <w:ind w:hanging="0" w:left="3686" w:right="0"/>
        <w:contextualSpacing w:val="fals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686" w:right="0"/>
        <w:contextualSpacing w:val="false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порядке и условиях доступа граждан к музейным предметам и музейным коллекциям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БУК Батыревский районный историко-этнографический  музей «Хлеб» </w:t>
      </w:r>
    </w:p>
    <w:p>
      <w:pPr>
        <w:pStyle w:val="style27"/>
        <w:spacing w:after="280" w:before="280" w:line="274" w:lineRule="atLeast"/>
        <w:ind w:firstLine="150" w:left="0" w:right="20"/>
        <w:contextualSpacing w:val="false"/>
        <w:jc w:val="right"/>
        <w:rPr/>
      </w:pPr>
      <w:r>
        <w:rPr/>
      </w:r>
    </w:p>
    <w:p>
      <w:pPr>
        <w:pStyle w:val="style27"/>
        <w:spacing w:after="280" w:before="280" w:line="274" w:lineRule="atLeast"/>
        <w:ind w:firstLine="150" w:left="0" w:right="20"/>
        <w:contextualSpacing w:val="false"/>
        <w:jc w:val="right"/>
        <w:rPr/>
      </w:pPr>
      <w:r>
        <w:rPr/>
      </w:r>
    </w:p>
    <w:p>
      <w:pPr>
        <w:pStyle w:val="style27"/>
        <w:spacing w:after="280" w:before="280" w:line="274" w:lineRule="atLeast"/>
        <w:ind w:firstLine="150" w:left="0" w:right="2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>
      <w:pPr>
        <w:pStyle w:val="style27"/>
        <w:spacing w:after="280" w:before="280" w:line="274" w:lineRule="atLeast"/>
        <w:ind w:firstLine="150" w:left="0" w:right="2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>«Публикация музейных предметов и музейных коллекций»</w:t>
      </w:r>
    </w:p>
    <w:p>
      <w:pPr>
        <w:pStyle w:val="style27"/>
        <w:spacing w:after="280" w:before="280" w:line="274" w:lineRule="atLeast"/>
        <w:ind w:firstLine="150" w:left="0" w:right="20"/>
        <w:contextualSpacing w:val="false"/>
        <w:jc w:val="both"/>
        <w:rPr/>
      </w:pPr>
      <w:r>
        <w:rPr/>
      </w:r>
    </w:p>
    <w:p>
      <w:pPr>
        <w:pStyle w:val="style27"/>
        <w:spacing w:after="280" w:before="280"/>
        <w:ind w:firstLine="709" w:left="0" w:right="0"/>
        <w:contextualSpacing w:val="false"/>
        <w:jc w:val="both"/>
        <w:rPr>
          <w:i/>
          <w:iCs/>
          <w:sz w:val="28"/>
          <w:szCs w:val="28"/>
        </w:rPr>
      </w:pPr>
      <w:r>
        <w:rPr>
          <w:rStyle w:val="style19"/>
          <w:sz w:val="28"/>
          <w:szCs w:val="28"/>
        </w:rPr>
        <w:t xml:space="preserve">Настоящая Памятка отражает основные положения Статьи 36 «Публикация музейных предметов и музейных коллекции» Федерального закона от 26.05.1996 № 54-ФЗ «О музейном фонде Российской Федерации и музеях в Российской Федерации» (в редакции </w:t>
      </w:r>
      <w:r>
        <w:rPr>
          <w:i/>
          <w:iCs/>
          <w:sz w:val="28"/>
          <w:szCs w:val="28"/>
        </w:rPr>
        <w:t>от 03.07.2016 № 357-ФЗ).</w:t>
      </w:r>
    </w:p>
    <w:p>
      <w:pPr>
        <w:pStyle w:val="style27"/>
        <w:spacing w:after="280" w:before="280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1. Право первой публикации музейных предметов и коллекций, включённых в состав Музейного фонда Российской Федерации и находящихся в музеях в Российской Федерации, принадлежит музею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, за которым закреплены данные музейные предметы и музейные коллекции.</w:t>
      </w:r>
    </w:p>
    <w:p>
      <w:pPr>
        <w:pStyle w:val="style27"/>
        <w:spacing w:after="280" w:before="280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2. Передача прав на использование в коммерческих целях воспроизведения музейных предметов и музейных коллекций, включённой в состав Музейного фонда Российской Федерации и находящихся в музеях в Российской Федерации, осуществляется музеями в порядке, установленным собственником музейных предметов и музейных коллекций</w:t>
      </w:r>
      <w:r>
        <w:rPr>
          <w:sz w:val="28"/>
          <w:szCs w:val="28"/>
          <w:vertAlign w:val="superscript"/>
        </w:rPr>
        <w:t>**</w:t>
      </w:r>
      <w:r>
        <w:rPr>
          <w:sz w:val="28"/>
          <w:szCs w:val="28"/>
        </w:rPr>
        <w:t>.</w:t>
      </w:r>
    </w:p>
    <w:p>
      <w:pPr>
        <w:pStyle w:val="style27"/>
        <w:spacing w:after="280" w:before="280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3. Производство изобразительной, печатной, сувенирной и другой тиражной продукции и товаров народного потребления с использованием изображений музейных предметов и музейных коллекций, зданий музеев, объектов, расположенных на территориях музеев, а также с использованием названий и символики, осуществляется с разрешения дирекций музеев***.</w:t>
      </w:r>
    </w:p>
    <w:p>
      <w:pPr>
        <w:pStyle w:val="style27"/>
        <w:spacing w:after="280" w:before="280"/>
        <w:ind w:firstLine="709" w:left="0" w:right="0"/>
        <w:contextualSpacing w:val="false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 xml:space="preserve">Примечания в условиях действия Памятки в </w:t>
      </w:r>
      <w:r>
        <w:rPr>
          <w:sz w:val="28"/>
          <w:szCs w:val="28"/>
          <w:u w:val="single"/>
        </w:rPr>
        <w:t>БУК Батыревский районный историко-этнографический музей «Хлеб»</w:t>
      </w:r>
      <w:r>
        <w:rPr>
          <w:iCs/>
          <w:sz w:val="28"/>
          <w:szCs w:val="28"/>
          <w:u w:val="single"/>
        </w:rPr>
        <w:t>:</w:t>
      </w:r>
    </w:p>
    <w:p>
      <w:pPr>
        <w:pStyle w:val="style27"/>
        <w:spacing w:after="280" w:before="280"/>
        <w:ind w:firstLine="709" w:left="0" w:right="0"/>
        <w:contextualSpacing w:val="false"/>
        <w:jc w:val="both"/>
        <w:rPr>
          <w:iCs/>
          <w:sz w:val="28"/>
          <w:szCs w:val="28"/>
          <w:shd w:fill="FFFFFF" w:val="clear"/>
        </w:rPr>
      </w:pPr>
      <w:r>
        <w:rPr>
          <w:iCs/>
          <w:sz w:val="28"/>
          <w:szCs w:val="28"/>
        </w:rPr>
        <w:t xml:space="preserve">*  </w:t>
      </w:r>
      <w:r>
        <w:rPr>
          <w:iCs/>
          <w:sz w:val="28"/>
          <w:szCs w:val="28"/>
          <w:u w:val="single"/>
          <w:shd w:fill="FFFFFF" w:val="clear"/>
        </w:rPr>
        <w:t>БУК Батыревский районный историко-этнографический музей «Хлеб»</w:t>
      </w:r>
      <w:r>
        <w:rPr>
          <w:iCs/>
          <w:sz w:val="28"/>
          <w:szCs w:val="28"/>
          <w:shd w:fill="FFFFFF" w:val="clear"/>
        </w:rPr>
        <w:t>;</w:t>
      </w:r>
    </w:p>
    <w:p>
      <w:pPr>
        <w:pStyle w:val="style27"/>
        <w:spacing w:after="280" w:before="280"/>
        <w:ind w:firstLine="709" w:left="0" w:right="0"/>
        <w:contextualSpacing w:val="false"/>
        <w:jc w:val="both"/>
        <w:rPr>
          <w:iCs/>
          <w:sz w:val="28"/>
          <w:szCs w:val="28"/>
          <w:shd w:fill="FFFFFF" w:val="clear"/>
        </w:rPr>
      </w:pPr>
      <w:r>
        <w:rPr>
          <w:iCs/>
          <w:sz w:val="28"/>
          <w:szCs w:val="28"/>
          <w:shd w:fill="FFFFFF" w:val="clear"/>
        </w:rPr>
        <w:t>** Российская Федерация через уполномоченный орган – Министерство культуры, по делам национальностей и архивного дела Чувашской Республики ;</w:t>
      </w:r>
    </w:p>
    <w:p>
      <w:pPr>
        <w:pStyle w:val="style27"/>
        <w:spacing w:after="280" w:before="280"/>
        <w:ind w:firstLine="709" w:left="0" w:right="0"/>
        <w:contextualSpacing w:val="false"/>
        <w:rPr>
          <w:sz w:val="28"/>
          <w:szCs w:val="28"/>
          <w:shd w:fill="FFFFFF" w:val="clear"/>
        </w:rPr>
      </w:pPr>
      <w:r>
        <w:rPr>
          <w:shd w:fill="FFFFFF" w:val="clear"/>
        </w:rPr>
        <w:t xml:space="preserve">***  </w:t>
      </w:r>
      <w:r>
        <w:rPr>
          <w:sz w:val="28"/>
          <w:szCs w:val="28"/>
          <w:u w:val="single"/>
          <w:shd w:fill="FFFFFF" w:val="clear"/>
        </w:rPr>
        <w:t>БУК Батыревский районный историко-этнографический музей «Хлеб»</w:t>
      </w:r>
      <w:r>
        <w:rPr>
          <w:sz w:val="28"/>
          <w:szCs w:val="28"/>
          <w:shd w:fill="FFFFFF" w:val="clear"/>
        </w:rPr>
        <w:t>.</w:t>
      </w:r>
    </w:p>
    <w:p>
      <w:pPr>
        <w:pStyle w:val="style27"/>
        <w:spacing w:after="280" w:before="280"/>
        <w:ind w:firstLine="709" w:left="0" w:right="0"/>
        <w:contextualSpacing w:val="false"/>
        <w:rPr>
          <w:shd w:fill="FFFFFF" w:val="clear"/>
        </w:rPr>
      </w:pPr>
      <w:r>
        <w:rPr>
          <w:shd w:fill="FFFFFF" w:val="clear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/>
        <w:spacing w:after="160" w:before="0" w:line="252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160" w:before="0" w:line="252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160" w:before="0" w:line="252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160" w:before="0" w:line="252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160" w:before="0" w:line="252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160" w:before="0" w:line="252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2457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21"/>
    <w:next w:val="style1"/>
    <w:pPr/>
    <w:rPr/>
  </w:style>
  <w:style w:styleId="style2" w:type="paragraph">
    <w:name w:val="Заголовок 2"/>
    <w:basedOn w:val="style21"/>
    <w:next w:val="style2"/>
    <w:pPr/>
    <w:rPr/>
  </w:style>
  <w:style w:styleId="style3" w:type="paragraph">
    <w:name w:val="Заголовок 3"/>
    <w:basedOn w:val="style21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rFonts w:cs="Times New Roman"/>
      <w:color w:val="0563C1"/>
      <w:u w:val="single"/>
      <w:lang w:bidi="zxx-" w:eastAsia="zxx-" w:val="zxx-"/>
    </w:rPr>
  </w:style>
  <w:style w:styleId="style17" w:type="character">
    <w:name w:val="Balloon Text Char"/>
    <w:basedOn w:val="style15"/>
    <w:next w:val="style17"/>
    <w:rPr>
      <w:rFonts w:ascii="Times New Roman" w:cs="Times New Roman" w:hAnsi="Times New Roman"/>
      <w:sz w:val="2"/>
      <w:lang w:eastAsia="en-US"/>
    </w:rPr>
  </w:style>
  <w:style w:styleId="style18" w:type="character">
    <w:name w:val="Выделение"/>
    <w:basedOn w:val="style15"/>
    <w:next w:val="style18"/>
    <w:rPr>
      <w:rFonts w:cs="Times New Roman"/>
      <w:i/>
      <w:iCs/>
    </w:rPr>
  </w:style>
  <w:style w:styleId="style19" w:type="character">
    <w:name w:val="5"/>
    <w:basedOn w:val="style15"/>
    <w:next w:val="style19"/>
    <w:rPr>
      <w:rFonts w:cs="Times New Roman"/>
    </w:rPr>
  </w:style>
  <w:style w:styleId="style20" w:type="character">
    <w:name w:val="Выделение жирным"/>
    <w:next w:val="style20"/>
    <w:rPr>
      <w:b/>
      <w:bCs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Ari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Arial"/>
    </w:rPr>
  </w:style>
  <w:style w:styleId="style26" w:type="paragraph">
    <w:name w:val="Balloon Text"/>
    <w:basedOn w:val="style0"/>
    <w:next w:val="style26"/>
    <w:pPr/>
    <w:rPr>
      <w:rFonts w:ascii="Tahoma" w:cs="Tahoma" w:hAnsi="Tahoma"/>
      <w:sz w:val="16"/>
      <w:szCs w:val="16"/>
    </w:rPr>
  </w:style>
  <w:style w:styleId="style27" w:type="paragraph">
    <w:name w:val="Normal (Web)"/>
    <w:basedOn w:val="style0"/>
    <w:next w:val="style27"/>
    <w:pPr>
      <w:spacing w:after="280" w:before="280" w:line="100" w:lineRule="atLeast"/>
      <w:contextualSpacing w:val="false"/>
    </w:pPr>
    <w:rPr>
      <w:rFonts w:ascii="Times New Roman" w:hAnsi="Times New Roman"/>
      <w:sz w:val="24"/>
      <w:szCs w:val="24"/>
      <w:lang w:eastAsia="ru-RU"/>
    </w:rPr>
  </w:style>
  <w:style w:styleId="style28" w:type="paragraph">
    <w:name w:val="Цитата"/>
    <w:basedOn w:val="style0"/>
    <w:next w:val="style28"/>
    <w:pPr/>
    <w:rPr/>
  </w:style>
  <w:style w:styleId="style29" w:type="paragraph">
    <w:name w:val="Заглавие"/>
    <w:basedOn w:val="style21"/>
    <w:next w:val="style29"/>
    <w:pPr/>
    <w:rPr/>
  </w:style>
  <w:style w:styleId="style30" w:type="paragraph">
    <w:name w:val="Подзаголовок"/>
    <w:basedOn w:val="style21"/>
    <w:next w:val="style3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2018-02-14T11:46:00Z</dcterms:created>
  <dc:creator>Каграманова Валерия Сергеевна</dc:creator>
  <cp:lastModifiedBy>museum12</cp:lastModifiedBy>
  <cp:lastPrinted>2018-02-14T05:35:00Z</cp:lastPrinted>
  <dcterms:modified xsi:type="dcterms:W3CDTF">2018-02-14T11:46:00Z</dcterms:modified>
  <cp:revision>2</cp:revision>
  <dc:title>Приложение 1</dc:title>
</cp:coreProperties>
</file>