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F6" w:rsidRDefault="00401CF6" w:rsidP="00E838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EE2" w:rsidRDefault="00BA0EE2" w:rsidP="00515CAD">
      <w:pPr>
        <w:pStyle w:val="2"/>
        <w:spacing w:before="0" w:line="240" w:lineRule="auto"/>
        <w:ind w:right="43" w:firstLine="708"/>
        <w:jc w:val="center"/>
        <w:rPr>
          <w:b/>
          <w:sz w:val="26"/>
          <w:szCs w:val="26"/>
        </w:rPr>
      </w:pPr>
    </w:p>
    <w:p w:rsidR="00515CAD" w:rsidRPr="00BA0EE2" w:rsidRDefault="00515CAD" w:rsidP="00515CAD">
      <w:pPr>
        <w:pStyle w:val="2"/>
        <w:spacing w:before="0" w:line="240" w:lineRule="auto"/>
        <w:ind w:right="43" w:firstLine="708"/>
        <w:jc w:val="center"/>
        <w:rPr>
          <w:b/>
          <w:sz w:val="26"/>
          <w:szCs w:val="26"/>
        </w:rPr>
      </w:pPr>
      <w:r w:rsidRPr="00BA0EE2">
        <w:rPr>
          <w:b/>
          <w:sz w:val="26"/>
          <w:szCs w:val="26"/>
        </w:rPr>
        <w:t>Анализ осуществления закупок товаров, работ, услуг</w:t>
      </w:r>
    </w:p>
    <w:p w:rsidR="00515CAD" w:rsidRDefault="00515CAD" w:rsidP="00515CAD">
      <w:pPr>
        <w:pStyle w:val="2"/>
        <w:spacing w:before="0" w:line="240" w:lineRule="auto"/>
        <w:ind w:right="43" w:firstLine="708"/>
        <w:jc w:val="center"/>
        <w:rPr>
          <w:b/>
        </w:rPr>
      </w:pPr>
      <w:r w:rsidRPr="00BA0EE2">
        <w:rPr>
          <w:b/>
          <w:sz w:val="26"/>
          <w:szCs w:val="26"/>
        </w:rPr>
        <w:t xml:space="preserve"> по заказчикам г. Чебоксары </w:t>
      </w:r>
      <w:proofErr w:type="gramStart"/>
      <w:r w:rsidRPr="00BA0EE2">
        <w:rPr>
          <w:b/>
          <w:sz w:val="26"/>
          <w:szCs w:val="26"/>
        </w:rPr>
        <w:t>за  201</w:t>
      </w:r>
      <w:r w:rsidRPr="00BA0EE2">
        <w:rPr>
          <w:b/>
          <w:sz w:val="26"/>
          <w:szCs w:val="26"/>
        </w:rPr>
        <w:t>8</w:t>
      </w:r>
      <w:proofErr w:type="gramEnd"/>
      <w:r w:rsidRPr="00BA0EE2">
        <w:rPr>
          <w:b/>
          <w:sz w:val="26"/>
          <w:szCs w:val="26"/>
        </w:rPr>
        <w:t xml:space="preserve"> г.</w:t>
      </w:r>
    </w:p>
    <w:p w:rsidR="00BA0EE2" w:rsidRDefault="00BA0EE2" w:rsidP="00515CAD">
      <w:pPr>
        <w:pStyle w:val="2"/>
        <w:spacing w:before="0" w:line="240" w:lineRule="auto"/>
        <w:ind w:right="43" w:firstLine="708"/>
        <w:jc w:val="center"/>
        <w:rPr>
          <w:b/>
        </w:rPr>
      </w:pPr>
    </w:p>
    <w:p w:rsidR="00515CAD" w:rsidRDefault="00BA0EE2" w:rsidP="00515CAD">
      <w:pPr>
        <w:pStyle w:val="2"/>
        <w:spacing w:before="0" w:line="240" w:lineRule="auto"/>
        <w:ind w:right="43" w:firstLine="708"/>
        <w:jc w:val="center"/>
        <w:rPr>
          <w:b/>
        </w:rPr>
      </w:pPr>
      <w:r w:rsidRPr="00441C0C">
        <w:rPr>
          <w:noProof/>
          <w:color w:val="FF0000"/>
        </w:rPr>
        <w:drawing>
          <wp:anchor distT="0" distB="0" distL="114300" distR="114300" simplePos="0" relativeHeight="251655680" behindDoc="0" locked="0" layoutInCell="1" allowOverlap="1" wp14:anchorId="5F9FD872">
            <wp:simplePos x="0" y="0"/>
            <wp:positionH relativeFrom="column">
              <wp:posOffset>132080</wp:posOffset>
            </wp:positionH>
            <wp:positionV relativeFrom="paragraph">
              <wp:posOffset>299085</wp:posOffset>
            </wp:positionV>
            <wp:extent cx="6181725" cy="3067050"/>
            <wp:effectExtent l="0" t="0" r="9525" b="0"/>
            <wp:wrapTopAndBottom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EE2" w:rsidRDefault="001B4694" w:rsidP="00515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</w:p>
    <w:p w:rsidR="0006341E" w:rsidRPr="00275DFB" w:rsidRDefault="0006341E" w:rsidP="00BA0E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5DFB">
        <w:rPr>
          <w:rFonts w:ascii="Times New Roman" w:eastAsia="Times New Roman" w:hAnsi="Times New Roman" w:cs="Times New Roman"/>
          <w:lang w:eastAsia="ru-RU"/>
        </w:rPr>
        <w:t>Рис. 1. Удельный вес по способам осуществления закупок в общем объеме</w:t>
      </w:r>
    </w:p>
    <w:p w:rsidR="0006341E" w:rsidRPr="00275DFB" w:rsidRDefault="00C24287" w:rsidP="00515C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5DFB">
        <w:rPr>
          <w:rFonts w:ascii="Times New Roman" w:eastAsia="Times New Roman" w:hAnsi="Times New Roman" w:cs="Times New Roman"/>
          <w:lang w:eastAsia="ru-RU"/>
        </w:rPr>
        <w:t xml:space="preserve">закупок </w:t>
      </w:r>
      <w:r w:rsidR="002A3F9E" w:rsidRPr="00275DFB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973B84" w:rsidRPr="00275DFB">
        <w:rPr>
          <w:rFonts w:ascii="Times New Roman" w:eastAsia="Times New Roman" w:hAnsi="Times New Roman" w:cs="Times New Roman"/>
          <w:lang w:eastAsia="ru-RU"/>
        </w:rPr>
        <w:t>2017-2018</w:t>
      </w:r>
      <w:r w:rsidR="0006341E" w:rsidRPr="00275DFB">
        <w:rPr>
          <w:rFonts w:ascii="Times New Roman" w:eastAsia="Times New Roman" w:hAnsi="Times New Roman" w:cs="Times New Roman"/>
          <w:lang w:eastAsia="ru-RU"/>
        </w:rPr>
        <w:t xml:space="preserve"> гг., %</w:t>
      </w:r>
    </w:p>
    <w:p w:rsidR="004B58F3" w:rsidRPr="00275DFB" w:rsidRDefault="00515CAD" w:rsidP="001B46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4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7F14656B">
            <wp:simplePos x="0" y="0"/>
            <wp:positionH relativeFrom="column">
              <wp:posOffset>85090</wp:posOffset>
            </wp:positionH>
            <wp:positionV relativeFrom="paragraph">
              <wp:posOffset>299085</wp:posOffset>
            </wp:positionV>
            <wp:extent cx="6229350" cy="3000375"/>
            <wp:effectExtent l="0" t="0" r="0" b="952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A92" w:rsidRDefault="00BA3A92" w:rsidP="00BA3A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F0" w:rsidRPr="005570C3" w:rsidRDefault="001500F0" w:rsidP="00150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570C3">
        <w:rPr>
          <w:rFonts w:ascii="Times New Roman" w:eastAsia="Times New Roman" w:hAnsi="Times New Roman" w:cs="Times New Roman"/>
          <w:lang w:eastAsia="ru-RU"/>
        </w:rPr>
        <w:t>Рис.2. Сведения об экономической эффективности использования средств</w:t>
      </w:r>
    </w:p>
    <w:p w:rsidR="001500F0" w:rsidRDefault="001500F0" w:rsidP="004B58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0C3">
        <w:rPr>
          <w:rFonts w:ascii="Times New Roman" w:eastAsia="Times New Roman" w:hAnsi="Times New Roman" w:cs="Times New Roman"/>
          <w:lang w:eastAsia="ru-RU"/>
        </w:rPr>
        <w:t>бюджета г. Чебоксары за 2018 г.</w:t>
      </w:r>
    </w:p>
    <w:p w:rsidR="00270251" w:rsidRDefault="00270251" w:rsidP="004B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9F" w:rsidRDefault="002B0D9F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bookmarkStart w:id="0" w:name="_GoBack"/>
      <w:r w:rsidRPr="00DE392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 wp14:anchorId="0CBA36CD" wp14:editId="5ED51B2E">
            <wp:simplePos x="0" y="0"/>
            <wp:positionH relativeFrom="column">
              <wp:posOffset>66040</wp:posOffset>
            </wp:positionH>
            <wp:positionV relativeFrom="paragraph">
              <wp:posOffset>248285</wp:posOffset>
            </wp:positionV>
            <wp:extent cx="6167120" cy="3448050"/>
            <wp:effectExtent l="0" t="0" r="5080" b="0"/>
            <wp:wrapTopAndBottom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0EE2" w:rsidRDefault="00BA0EE2" w:rsidP="002B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A0EE2" w:rsidRDefault="00BA0EE2" w:rsidP="002B0D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</w:p>
    <w:p w:rsidR="002B0D9F" w:rsidRPr="00F55B4B" w:rsidRDefault="002B0D9F" w:rsidP="002B0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5B4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Рис. 3. Сведения об экономии использования средств бюджета города Чебоксары в удельном весе в общем объеме экономии в стоимостном выражении </w:t>
      </w:r>
      <w:r w:rsidRPr="00F55B4B">
        <w:rPr>
          <w:rFonts w:ascii="Times New Roman" w:eastAsia="Times New Roman" w:hAnsi="Times New Roman" w:cs="Times New Roman"/>
          <w:color w:val="000000" w:themeColor="text1"/>
          <w:lang w:eastAsia="ru-RU"/>
        </w:rPr>
        <w:t>в разрезе отраслей</w:t>
      </w:r>
    </w:p>
    <w:p w:rsidR="002B0D9F" w:rsidRPr="00F55B4B" w:rsidRDefault="002B0D9F" w:rsidP="002B0D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F55B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55B4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за 2018 г., млн.руб.</w:t>
      </w:r>
    </w:p>
    <w:p w:rsidR="00FA68EB" w:rsidRDefault="00FA68EB" w:rsidP="002B0D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2B0D9F" w:rsidRPr="00DE392E" w:rsidRDefault="002B0D9F" w:rsidP="002B0D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2B0D9F" w:rsidRPr="00DE392E" w:rsidRDefault="002B0D9F" w:rsidP="002B0D9F">
      <w:pPr>
        <w:tabs>
          <w:tab w:val="left" w:pos="9781"/>
        </w:tabs>
        <w:spacing w:after="0"/>
        <w:jc w:val="center"/>
        <w:rPr>
          <w:b/>
          <w:noProof/>
          <w:color w:val="FF0000"/>
          <w:lang w:eastAsia="ru-RU"/>
        </w:rPr>
      </w:pPr>
      <w:r w:rsidRPr="00DE392E"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47D89FFB" wp14:editId="5C7E4855">
            <wp:extent cx="6167120" cy="2914650"/>
            <wp:effectExtent l="0" t="0" r="508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5CAD" w:rsidRDefault="00515CAD" w:rsidP="002B0D9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lang w:eastAsia="ru-RU"/>
        </w:rPr>
      </w:pPr>
    </w:p>
    <w:p w:rsidR="002B0D9F" w:rsidRPr="00F55B4B" w:rsidRDefault="002B0D9F" w:rsidP="002B0D9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F55B4B">
        <w:rPr>
          <w:rFonts w:ascii="Times New Roman" w:hAnsi="Times New Roman" w:cs="Times New Roman"/>
          <w:noProof/>
          <w:color w:val="000000" w:themeColor="text1"/>
          <w:lang w:eastAsia="ru-RU"/>
        </w:rPr>
        <w:t>Рис. 4. Сведения об экономической эффективности использования средств бюджета города Чебоксары в</w:t>
      </w:r>
      <w:r w:rsidR="00602BEA">
        <w:rPr>
          <w:rFonts w:ascii="Times New Roman" w:hAnsi="Times New Roman" w:cs="Times New Roman"/>
          <w:noProof/>
          <w:color w:val="000000" w:themeColor="text1"/>
          <w:lang w:eastAsia="ru-RU"/>
        </w:rPr>
        <w:t> </w:t>
      </w:r>
      <w:r w:rsidRPr="00F55B4B">
        <w:rPr>
          <w:rFonts w:ascii="Times New Roman" w:hAnsi="Times New Roman" w:cs="Times New Roman"/>
          <w:noProof/>
          <w:color w:val="000000" w:themeColor="text1"/>
          <w:lang w:eastAsia="ru-RU"/>
        </w:rPr>
        <w:t>разрезе отраслей за 2018 г., %</w:t>
      </w:r>
    </w:p>
    <w:p w:rsidR="002B0D9F" w:rsidRPr="00DE392E" w:rsidRDefault="002B0D9F" w:rsidP="002B0D9F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FA68EB" w:rsidRDefault="00FA68EB" w:rsidP="002B0D9F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9A5B24" w:rsidRPr="00F55B4B" w:rsidRDefault="009A5B24" w:rsidP="00F55B4B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023D3702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6300470" cy="3268345"/>
            <wp:effectExtent l="0" t="0" r="5080" b="825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E2" w:rsidRDefault="00BA0EE2" w:rsidP="005E46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B24" w:rsidRPr="00FA68EB" w:rsidRDefault="005E46BE" w:rsidP="005E46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68EB">
        <w:rPr>
          <w:rFonts w:ascii="Times New Roman" w:eastAsia="Times New Roman" w:hAnsi="Times New Roman" w:cs="Times New Roman"/>
          <w:lang w:eastAsia="ru-RU"/>
        </w:rPr>
        <w:t xml:space="preserve">Рис.5. </w:t>
      </w:r>
      <w:r w:rsidRPr="00FA68E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Сведения о проведенных совместных конкурсах и электронных аукционах за</w:t>
      </w:r>
      <w:r w:rsidR="00E62DD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2017-</w:t>
      </w:r>
      <w:r w:rsidRPr="00FA68E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2018 г</w:t>
      </w:r>
      <w:r w:rsidR="00E62DD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г</w:t>
      </w:r>
      <w:r w:rsidRPr="00FA68E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.</w:t>
      </w:r>
    </w:p>
    <w:p w:rsidR="009A5B24" w:rsidRPr="00FA68EB" w:rsidRDefault="009A5B24" w:rsidP="00F5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A5B24" w:rsidRPr="00FA68EB" w:rsidSect="00FA68EB">
      <w:headerReference w:type="default" r:id="rId12"/>
      <w:pgSz w:w="11907" w:h="16840" w:code="9"/>
      <w:pgMar w:top="284" w:right="709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90" w:rsidRDefault="002232E4">
      <w:pPr>
        <w:spacing w:after="0" w:line="240" w:lineRule="auto"/>
      </w:pPr>
      <w:r>
        <w:separator/>
      </w:r>
    </w:p>
  </w:endnote>
  <w:endnote w:type="continuationSeparator" w:id="0">
    <w:p w:rsidR="00CA6190" w:rsidRDefault="0022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90" w:rsidRDefault="002232E4">
      <w:pPr>
        <w:spacing w:after="0" w:line="240" w:lineRule="auto"/>
      </w:pPr>
      <w:r>
        <w:separator/>
      </w:r>
    </w:p>
  </w:footnote>
  <w:footnote w:type="continuationSeparator" w:id="0">
    <w:p w:rsidR="00CA6190" w:rsidRDefault="0022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2C" w:rsidRDefault="00D165D4" w:rsidP="00A07596">
    <w:pPr>
      <w:pStyle w:val="a3"/>
      <w:framePr w:w="7469" w:wrap="auto" w:vAnchor="text" w:hAnchor="margin" w:x="1276" w:y="1"/>
      <w:rPr>
        <w:rStyle w:val="a5"/>
      </w:rPr>
    </w:pPr>
  </w:p>
  <w:p w:rsidR="00AA652C" w:rsidRDefault="00D16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2F"/>
    <w:rsid w:val="00003AB2"/>
    <w:rsid w:val="00005C8D"/>
    <w:rsid w:val="00021C85"/>
    <w:rsid w:val="000319FE"/>
    <w:rsid w:val="0003580E"/>
    <w:rsid w:val="00040888"/>
    <w:rsid w:val="000427B6"/>
    <w:rsid w:val="000432E2"/>
    <w:rsid w:val="00045026"/>
    <w:rsid w:val="00053B9E"/>
    <w:rsid w:val="00055D38"/>
    <w:rsid w:val="0006341E"/>
    <w:rsid w:val="00066124"/>
    <w:rsid w:val="0006728D"/>
    <w:rsid w:val="00077618"/>
    <w:rsid w:val="000810FC"/>
    <w:rsid w:val="00091413"/>
    <w:rsid w:val="00093289"/>
    <w:rsid w:val="00094E79"/>
    <w:rsid w:val="00095416"/>
    <w:rsid w:val="000A248B"/>
    <w:rsid w:val="000A3FA4"/>
    <w:rsid w:val="000A53D9"/>
    <w:rsid w:val="000A7879"/>
    <w:rsid w:val="000B6624"/>
    <w:rsid w:val="000C4594"/>
    <w:rsid w:val="000C53A9"/>
    <w:rsid w:val="000C7C3C"/>
    <w:rsid w:val="000E1594"/>
    <w:rsid w:val="000E52DF"/>
    <w:rsid w:val="000F6B48"/>
    <w:rsid w:val="0010453E"/>
    <w:rsid w:val="001046AF"/>
    <w:rsid w:val="00123E21"/>
    <w:rsid w:val="001330D1"/>
    <w:rsid w:val="00137D6B"/>
    <w:rsid w:val="00143319"/>
    <w:rsid w:val="001500F0"/>
    <w:rsid w:val="001530D0"/>
    <w:rsid w:val="0015411A"/>
    <w:rsid w:val="00155958"/>
    <w:rsid w:val="00163327"/>
    <w:rsid w:val="00164375"/>
    <w:rsid w:val="00171E75"/>
    <w:rsid w:val="00185C10"/>
    <w:rsid w:val="0019736A"/>
    <w:rsid w:val="00197E3A"/>
    <w:rsid w:val="001A01D8"/>
    <w:rsid w:val="001A0C05"/>
    <w:rsid w:val="001A2E2F"/>
    <w:rsid w:val="001A5247"/>
    <w:rsid w:val="001B4694"/>
    <w:rsid w:val="001C6BAF"/>
    <w:rsid w:val="001D4397"/>
    <w:rsid w:val="001D6363"/>
    <w:rsid w:val="001E0924"/>
    <w:rsid w:val="001E5164"/>
    <w:rsid w:val="001E7953"/>
    <w:rsid w:val="001F0911"/>
    <w:rsid w:val="001F55CE"/>
    <w:rsid w:val="00204A53"/>
    <w:rsid w:val="002069C5"/>
    <w:rsid w:val="00206BE9"/>
    <w:rsid w:val="00211B35"/>
    <w:rsid w:val="002124A9"/>
    <w:rsid w:val="0021513A"/>
    <w:rsid w:val="00221401"/>
    <w:rsid w:val="002232E4"/>
    <w:rsid w:val="00224693"/>
    <w:rsid w:val="00230D94"/>
    <w:rsid w:val="00232DEA"/>
    <w:rsid w:val="00236FD7"/>
    <w:rsid w:val="00237EE5"/>
    <w:rsid w:val="00240E00"/>
    <w:rsid w:val="00243734"/>
    <w:rsid w:val="00251618"/>
    <w:rsid w:val="002537D4"/>
    <w:rsid w:val="00255100"/>
    <w:rsid w:val="0026265F"/>
    <w:rsid w:val="00262B93"/>
    <w:rsid w:val="002641C6"/>
    <w:rsid w:val="002652C2"/>
    <w:rsid w:val="00270251"/>
    <w:rsid w:val="00275DFB"/>
    <w:rsid w:val="00280EE2"/>
    <w:rsid w:val="00286E41"/>
    <w:rsid w:val="0029113D"/>
    <w:rsid w:val="0029289D"/>
    <w:rsid w:val="002A28C3"/>
    <w:rsid w:val="002A3F9E"/>
    <w:rsid w:val="002B0D9F"/>
    <w:rsid w:val="002D695D"/>
    <w:rsid w:val="002E0E3D"/>
    <w:rsid w:val="002E1520"/>
    <w:rsid w:val="002E523C"/>
    <w:rsid w:val="002E676E"/>
    <w:rsid w:val="00303C28"/>
    <w:rsid w:val="00304187"/>
    <w:rsid w:val="00307FDE"/>
    <w:rsid w:val="003143E5"/>
    <w:rsid w:val="003159FF"/>
    <w:rsid w:val="00326A82"/>
    <w:rsid w:val="00330D06"/>
    <w:rsid w:val="00336D10"/>
    <w:rsid w:val="00350075"/>
    <w:rsid w:val="003640E2"/>
    <w:rsid w:val="00365E9A"/>
    <w:rsid w:val="003671BD"/>
    <w:rsid w:val="003771C7"/>
    <w:rsid w:val="00377938"/>
    <w:rsid w:val="00383ADA"/>
    <w:rsid w:val="003909C3"/>
    <w:rsid w:val="00397892"/>
    <w:rsid w:val="00397F18"/>
    <w:rsid w:val="003A06CC"/>
    <w:rsid w:val="003A1C96"/>
    <w:rsid w:val="003A21FC"/>
    <w:rsid w:val="003B73F2"/>
    <w:rsid w:val="003C315D"/>
    <w:rsid w:val="003C5833"/>
    <w:rsid w:val="003E01BB"/>
    <w:rsid w:val="003E62B8"/>
    <w:rsid w:val="003F339F"/>
    <w:rsid w:val="0040169C"/>
    <w:rsid w:val="00401CF6"/>
    <w:rsid w:val="00404AA2"/>
    <w:rsid w:val="00410622"/>
    <w:rsid w:val="00411EE6"/>
    <w:rsid w:val="004152C2"/>
    <w:rsid w:val="00416183"/>
    <w:rsid w:val="004278A3"/>
    <w:rsid w:val="00430BB0"/>
    <w:rsid w:val="00431D16"/>
    <w:rsid w:val="00433B69"/>
    <w:rsid w:val="0043453B"/>
    <w:rsid w:val="0043512D"/>
    <w:rsid w:val="00441C0C"/>
    <w:rsid w:val="0044422E"/>
    <w:rsid w:val="004451C8"/>
    <w:rsid w:val="00453525"/>
    <w:rsid w:val="00456A5B"/>
    <w:rsid w:val="00456EAB"/>
    <w:rsid w:val="00457552"/>
    <w:rsid w:val="004633C7"/>
    <w:rsid w:val="00467EC8"/>
    <w:rsid w:val="00484155"/>
    <w:rsid w:val="00485483"/>
    <w:rsid w:val="0049176E"/>
    <w:rsid w:val="00494B1C"/>
    <w:rsid w:val="004A5339"/>
    <w:rsid w:val="004A57C1"/>
    <w:rsid w:val="004A795D"/>
    <w:rsid w:val="004B427A"/>
    <w:rsid w:val="004B58F3"/>
    <w:rsid w:val="004C3EDE"/>
    <w:rsid w:val="004C43D9"/>
    <w:rsid w:val="004C64C1"/>
    <w:rsid w:val="004D12BB"/>
    <w:rsid w:val="004D340E"/>
    <w:rsid w:val="004D5FEA"/>
    <w:rsid w:val="004D6387"/>
    <w:rsid w:val="004E089F"/>
    <w:rsid w:val="004F1A55"/>
    <w:rsid w:val="004F49FE"/>
    <w:rsid w:val="0051053D"/>
    <w:rsid w:val="005111F3"/>
    <w:rsid w:val="00515771"/>
    <w:rsid w:val="00515CAD"/>
    <w:rsid w:val="00521FF6"/>
    <w:rsid w:val="00523FA3"/>
    <w:rsid w:val="0052525A"/>
    <w:rsid w:val="00544E40"/>
    <w:rsid w:val="005476D6"/>
    <w:rsid w:val="005545E3"/>
    <w:rsid w:val="00555207"/>
    <w:rsid w:val="00556DF8"/>
    <w:rsid w:val="005570C3"/>
    <w:rsid w:val="00560697"/>
    <w:rsid w:val="005606C2"/>
    <w:rsid w:val="0056405E"/>
    <w:rsid w:val="00584A69"/>
    <w:rsid w:val="005918A6"/>
    <w:rsid w:val="00593460"/>
    <w:rsid w:val="00597A2F"/>
    <w:rsid w:val="005A363D"/>
    <w:rsid w:val="005A3EFA"/>
    <w:rsid w:val="005A6E64"/>
    <w:rsid w:val="005B4882"/>
    <w:rsid w:val="005B6318"/>
    <w:rsid w:val="005C63C0"/>
    <w:rsid w:val="005D5757"/>
    <w:rsid w:val="005D7AAB"/>
    <w:rsid w:val="005E3B9E"/>
    <w:rsid w:val="005E46BE"/>
    <w:rsid w:val="005E71A6"/>
    <w:rsid w:val="005F00D1"/>
    <w:rsid w:val="005F583D"/>
    <w:rsid w:val="00600A6B"/>
    <w:rsid w:val="00602BEA"/>
    <w:rsid w:val="00613172"/>
    <w:rsid w:val="00622117"/>
    <w:rsid w:val="00623B51"/>
    <w:rsid w:val="00624A39"/>
    <w:rsid w:val="006253B0"/>
    <w:rsid w:val="00630083"/>
    <w:rsid w:val="006355D6"/>
    <w:rsid w:val="00641541"/>
    <w:rsid w:val="00646D45"/>
    <w:rsid w:val="00646D66"/>
    <w:rsid w:val="006532AA"/>
    <w:rsid w:val="006548D3"/>
    <w:rsid w:val="00657189"/>
    <w:rsid w:val="006613A4"/>
    <w:rsid w:val="00663FF2"/>
    <w:rsid w:val="006646A3"/>
    <w:rsid w:val="00665EB2"/>
    <w:rsid w:val="00667E5E"/>
    <w:rsid w:val="00670F9C"/>
    <w:rsid w:val="00675F76"/>
    <w:rsid w:val="00683597"/>
    <w:rsid w:val="006905F7"/>
    <w:rsid w:val="00693FEB"/>
    <w:rsid w:val="006A027E"/>
    <w:rsid w:val="006B2A3F"/>
    <w:rsid w:val="006B5B9F"/>
    <w:rsid w:val="006B7FFE"/>
    <w:rsid w:val="006C062F"/>
    <w:rsid w:val="006C19D2"/>
    <w:rsid w:val="006C592F"/>
    <w:rsid w:val="006C6E1A"/>
    <w:rsid w:val="006D0A00"/>
    <w:rsid w:val="006D2165"/>
    <w:rsid w:val="006D671F"/>
    <w:rsid w:val="006E2581"/>
    <w:rsid w:val="006F186F"/>
    <w:rsid w:val="006F1B3C"/>
    <w:rsid w:val="006F5FF2"/>
    <w:rsid w:val="007160B2"/>
    <w:rsid w:val="00717628"/>
    <w:rsid w:val="007211B4"/>
    <w:rsid w:val="007224A4"/>
    <w:rsid w:val="00726A17"/>
    <w:rsid w:val="007275B5"/>
    <w:rsid w:val="00736946"/>
    <w:rsid w:val="007546D4"/>
    <w:rsid w:val="00754E61"/>
    <w:rsid w:val="0075687D"/>
    <w:rsid w:val="00764A21"/>
    <w:rsid w:val="0077025E"/>
    <w:rsid w:val="00773773"/>
    <w:rsid w:val="00774555"/>
    <w:rsid w:val="00775FD7"/>
    <w:rsid w:val="007822E3"/>
    <w:rsid w:val="00783CFA"/>
    <w:rsid w:val="0078769C"/>
    <w:rsid w:val="00793976"/>
    <w:rsid w:val="0079534A"/>
    <w:rsid w:val="0079597F"/>
    <w:rsid w:val="007A2027"/>
    <w:rsid w:val="007A30EE"/>
    <w:rsid w:val="007A5C84"/>
    <w:rsid w:val="007D20AA"/>
    <w:rsid w:val="007D7293"/>
    <w:rsid w:val="007E25F4"/>
    <w:rsid w:val="007E26F2"/>
    <w:rsid w:val="007F61EE"/>
    <w:rsid w:val="00802116"/>
    <w:rsid w:val="008046E4"/>
    <w:rsid w:val="00804D62"/>
    <w:rsid w:val="00810EA8"/>
    <w:rsid w:val="0082419D"/>
    <w:rsid w:val="00825613"/>
    <w:rsid w:val="00837966"/>
    <w:rsid w:val="00843035"/>
    <w:rsid w:val="00844DCE"/>
    <w:rsid w:val="008517B7"/>
    <w:rsid w:val="008525A2"/>
    <w:rsid w:val="00864850"/>
    <w:rsid w:val="00870FED"/>
    <w:rsid w:val="008711AD"/>
    <w:rsid w:val="0087258B"/>
    <w:rsid w:val="00877E01"/>
    <w:rsid w:val="00880C50"/>
    <w:rsid w:val="00882D77"/>
    <w:rsid w:val="008B220B"/>
    <w:rsid w:val="008C1D1D"/>
    <w:rsid w:val="008C7E1C"/>
    <w:rsid w:val="008D6633"/>
    <w:rsid w:val="008E7954"/>
    <w:rsid w:val="008F668A"/>
    <w:rsid w:val="008F77AD"/>
    <w:rsid w:val="00900302"/>
    <w:rsid w:val="00901E2F"/>
    <w:rsid w:val="009021B4"/>
    <w:rsid w:val="0090367D"/>
    <w:rsid w:val="00904FDB"/>
    <w:rsid w:val="00920C15"/>
    <w:rsid w:val="00945599"/>
    <w:rsid w:val="00947A69"/>
    <w:rsid w:val="00947F2A"/>
    <w:rsid w:val="009643B7"/>
    <w:rsid w:val="009650D1"/>
    <w:rsid w:val="00973B84"/>
    <w:rsid w:val="00973DAA"/>
    <w:rsid w:val="009802B3"/>
    <w:rsid w:val="0098428C"/>
    <w:rsid w:val="00984EF1"/>
    <w:rsid w:val="00991147"/>
    <w:rsid w:val="009A3F0E"/>
    <w:rsid w:val="009A5B24"/>
    <w:rsid w:val="009A60BD"/>
    <w:rsid w:val="009B1723"/>
    <w:rsid w:val="009B46EB"/>
    <w:rsid w:val="009B7E13"/>
    <w:rsid w:val="009C204F"/>
    <w:rsid w:val="009C4EC4"/>
    <w:rsid w:val="009C62F3"/>
    <w:rsid w:val="009C7A17"/>
    <w:rsid w:val="009D0E86"/>
    <w:rsid w:val="009D7E7A"/>
    <w:rsid w:val="009E160B"/>
    <w:rsid w:val="009E4B91"/>
    <w:rsid w:val="009E6117"/>
    <w:rsid w:val="00A0609A"/>
    <w:rsid w:val="00A06416"/>
    <w:rsid w:val="00A1017A"/>
    <w:rsid w:val="00A211AB"/>
    <w:rsid w:val="00A262DA"/>
    <w:rsid w:val="00A30273"/>
    <w:rsid w:val="00A3770F"/>
    <w:rsid w:val="00A379E4"/>
    <w:rsid w:val="00A379E9"/>
    <w:rsid w:val="00A40662"/>
    <w:rsid w:val="00A40B02"/>
    <w:rsid w:val="00A417B1"/>
    <w:rsid w:val="00A53163"/>
    <w:rsid w:val="00A53F6E"/>
    <w:rsid w:val="00A569AF"/>
    <w:rsid w:val="00A61415"/>
    <w:rsid w:val="00A644A6"/>
    <w:rsid w:val="00A70071"/>
    <w:rsid w:val="00A74923"/>
    <w:rsid w:val="00A8203C"/>
    <w:rsid w:val="00A86E24"/>
    <w:rsid w:val="00A9436B"/>
    <w:rsid w:val="00A94EBE"/>
    <w:rsid w:val="00AA1C05"/>
    <w:rsid w:val="00AA1E0E"/>
    <w:rsid w:val="00AD4628"/>
    <w:rsid w:val="00AD72CA"/>
    <w:rsid w:val="00AF78DF"/>
    <w:rsid w:val="00B0123F"/>
    <w:rsid w:val="00B04183"/>
    <w:rsid w:val="00B10711"/>
    <w:rsid w:val="00B16061"/>
    <w:rsid w:val="00B1692B"/>
    <w:rsid w:val="00B22D6D"/>
    <w:rsid w:val="00B436DA"/>
    <w:rsid w:val="00B505E4"/>
    <w:rsid w:val="00B50AF2"/>
    <w:rsid w:val="00B542B6"/>
    <w:rsid w:val="00B620A6"/>
    <w:rsid w:val="00B641F1"/>
    <w:rsid w:val="00B6683E"/>
    <w:rsid w:val="00B7238B"/>
    <w:rsid w:val="00B75A57"/>
    <w:rsid w:val="00B80AEB"/>
    <w:rsid w:val="00B80F1F"/>
    <w:rsid w:val="00B83137"/>
    <w:rsid w:val="00B85636"/>
    <w:rsid w:val="00B9550C"/>
    <w:rsid w:val="00BA0EE2"/>
    <w:rsid w:val="00BA1F08"/>
    <w:rsid w:val="00BA3A92"/>
    <w:rsid w:val="00BA5BD0"/>
    <w:rsid w:val="00BB6090"/>
    <w:rsid w:val="00BB7531"/>
    <w:rsid w:val="00BC2EBD"/>
    <w:rsid w:val="00BC5320"/>
    <w:rsid w:val="00BD67F4"/>
    <w:rsid w:val="00BE3597"/>
    <w:rsid w:val="00BE3E76"/>
    <w:rsid w:val="00BF381F"/>
    <w:rsid w:val="00C021F5"/>
    <w:rsid w:val="00C0303A"/>
    <w:rsid w:val="00C0596A"/>
    <w:rsid w:val="00C13992"/>
    <w:rsid w:val="00C23223"/>
    <w:rsid w:val="00C24287"/>
    <w:rsid w:val="00C24592"/>
    <w:rsid w:val="00C2499C"/>
    <w:rsid w:val="00C256C9"/>
    <w:rsid w:val="00C472FF"/>
    <w:rsid w:val="00C5376B"/>
    <w:rsid w:val="00C54318"/>
    <w:rsid w:val="00C56994"/>
    <w:rsid w:val="00C633DC"/>
    <w:rsid w:val="00C70767"/>
    <w:rsid w:val="00C728C0"/>
    <w:rsid w:val="00C73A77"/>
    <w:rsid w:val="00C7427C"/>
    <w:rsid w:val="00C77397"/>
    <w:rsid w:val="00C85F70"/>
    <w:rsid w:val="00C87393"/>
    <w:rsid w:val="00CA6190"/>
    <w:rsid w:val="00CB1565"/>
    <w:rsid w:val="00CB54D6"/>
    <w:rsid w:val="00CC33CE"/>
    <w:rsid w:val="00CC5F79"/>
    <w:rsid w:val="00CC6688"/>
    <w:rsid w:val="00CC6C13"/>
    <w:rsid w:val="00CE0B9B"/>
    <w:rsid w:val="00CE4CD6"/>
    <w:rsid w:val="00CF335F"/>
    <w:rsid w:val="00CF6C42"/>
    <w:rsid w:val="00CF70C2"/>
    <w:rsid w:val="00D01DF8"/>
    <w:rsid w:val="00D04B11"/>
    <w:rsid w:val="00D04B59"/>
    <w:rsid w:val="00D07B7A"/>
    <w:rsid w:val="00D07C21"/>
    <w:rsid w:val="00D113DB"/>
    <w:rsid w:val="00D165D4"/>
    <w:rsid w:val="00D1662A"/>
    <w:rsid w:val="00D17F36"/>
    <w:rsid w:val="00D40E70"/>
    <w:rsid w:val="00D43B7C"/>
    <w:rsid w:val="00D46AC4"/>
    <w:rsid w:val="00D474A2"/>
    <w:rsid w:val="00D5127E"/>
    <w:rsid w:val="00D54023"/>
    <w:rsid w:val="00D550D0"/>
    <w:rsid w:val="00D670DD"/>
    <w:rsid w:val="00D70323"/>
    <w:rsid w:val="00D7476D"/>
    <w:rsid w:val="00D8458E"/>
    <w:rsid w:val="00D87F80"/>
    <w:rsid w:val="00D9010A"/>
    <w:rsid w:val="00D90322"/>
    <w:rsid w:val="00DA7092"/>
    <w:rsid w:val="00DB51C6"/>
    <w:rsid w:val="00DC71A9"/>
    <w:rsid w:val="00DE1A51"/>
    <w:rsid w:val="00DF0862"/>
    <w:rsid w:val="00DF3B14"/>
    <w:rsid w:val="00DF6DC4"/>
    <w:rsid w:val="00E10152"/>
    <w:rsid w:val="00E1623C"/>
    <w:rsid w:val="00E1660E"/>
    <w:rsid w:val="00E26BEB"/>
    <w:rsid w:val="00E27192"/>
    <w:rsid w:val="00E272D5"/>
    <w:rsid w:val="00E4049F"/>
    <w:rsid w:val="00E45313"/>
    <w:rsid w:val="00E50CEA"/>
    <w:rsid w:val="00E51E91"/>
    <w:rsid w:val="00E54C87"/>
    <w:rsid w:val="00E60224"/>
    <w:rsid w:val="00E62DDB"/>
    <w:rsid w:val="00E64164"/>
    <w:rsid w:val="00E73C73"/>
    <w:rsid w:val="00E8181F"/>
    <w:rsid w:val="00E8387E"/>
    <w:rsid w:val="00E91A95"/>
    <w:rsid w:val="00EC46B0"/>
    <w:rsid w:val="00EC6311"/>
    <w:rsid w:val="00ED2DF1"/>
    <w:rsid w:val="00EE2CEE"/>
    <w:rsid w:val="00EE6144"/>
    <w:rsid w:val="00EE6A26"/>
    <w:rsid w:val="00EE6C51"/>
    <w:rsid w:val="00EF0160"/>
    <w:rsid w:val="00EF3346"/>
    <w:rsid w:val="00EF5CBF"/>
    <w:rsid w:val="00F0239F"/>
    <w:rsid w:val="00F05370"/>
    <w:rsid w:val="00F05B4C"/>
    <w:rsid w:val="00F1684B"/>
    <w:rsid w:val="00F2383D"/>
    <w:rsid w:val="00F2630D"/>
    <w:rsid w:val="00F44802"/>
    <w:rsid w:val="00F46CEB"/>
    <w:rsid w:val="00F55B4B"/>
    <w:rsid w:val="00F61815"/>
    <w:rsid w:val="00F62180"/>
    <w:rsid w:val="00F62D77"/>
    <w:rsid w:val="00F63681"/>
    <w:rsid w:val="00F67D9D"/>
    <w:rsid w:val="00F72EA2"/>
    <w:rsid w:val="00F7392E"/>
    <w:rsid w:val="00F82699"/>
    <w:rsid w:val="00F84E15"/>
    <w:rsid w:val="00F87C48"/>
    <w:rsid w:val="00F909B1"/>
    <w:rsid w:val="00F9192E"/>
    <w:rsid w:val="00F930DE"/>
    <w:rsid w:val="00F95AA6"/>
    <w:rsid w:val="00F97F9E"/>
    <w:rsid w:val="00FA68EB"/>
    <w:rsid w:val="00FC200A"/>
    <w:rsid w:val="00FC583E"/>
    <w:rsid w:val="00FD34C9"/>
    <w:rsid w:val="00FD5993"/>
    <w:rsid w:val="00FD6865"/>
    <w:rsid w:val="00FE085B"/>
    <w:rsid w:val="00FF13AA"/>
    <w:rsid w:val="00FF56C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B99D"/>
  <w15:docId w15:val="{3FC84D35-4CF6-4C8A-8B5A-161B1A4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2">
    <w:name w:val="Текст2"/>
    <w:basedOn w:val="a"/>
    <w:rsid w:val="00515CAD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473226430637776E-2"/>
          <c:y val="4.6267087276550996E-2"/>
          <c:w val="0.92543724735138033"/>
          <c:h val="0.680617998459971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Лист1!$M$11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dkVert">
              <a:fgClr>
                <a:srgbClr val="002060"/>
              </a:fgClr>
              <a:bgClr>
                <a:sysClr val="window" lastClr="FFFFFF"/>
              </a:bgClr>
            </a:patt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1.4043666763876738E-2"/>
                  <c:y val="-0.131108278131900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6E-436F-9AB2-321624C24812}"/>
                </c:ext>
              </c:extLst>
            </c:dLbl>
            <c:dLbl>
              <c:idx val="1"/>
              <c:layout>
                <c:manualLayout>
                  <c:x val="-1.6235413495687506E-2"/>
                  <c:y val="-2.6590693257360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6E-436F-9AB2-321624C24812}"/>
                </c:ext>
              </c:extLst>
            </c:dLbl>
            <c:dLbl>
              <c:idx val="2"/>
              <c:layout>
                <c:manualLayout>
                  <c:x val="-2.1944901331777972E-2"/>
                  <c:y val="-5.752280964879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6E-436F-9AB2-321624C24812}"/>
                </c:ext>
              </c:extLst>
            </c:dLbl>
            <c:dLbl>
              <c:idx val="3"/>
              <c:layout>
                <c:manualLayout>
                  <c:x val="-1.4043666763876811E-2"/>
                  <c:y val="-0.111681039870016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6E-436F-9AB2-321624C24812}"/>
                </c:ext>
              </c:extLst>
            </c:dLbl>
            <c:dLbl>
              <c:idx val="4"/>
              <c:layout>
                <c:manualLayout>
                  <c:x val="-1.2014231554389108E-2"/>
                  <c:y val="-0.12774369870432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6E-436F-9AB2-321624C24812}"/>
                </c:ext>
              </c:extLst>
            </c:dLbl>
            <c:dLbl>
              <c:idx val="5"/>
              <c:layout>
                <c:manualLayout>
                  <c:x val="-1.0147133434804667E-2"/>
                  <c:y val="-3.79867046533713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66E-436F-9AB2-321624C24812}"/>
                </c:ext>
              </c:extLst>
            </c:dLbl>
            <c:dLbl>
              <c:idx val="6"/>
              <c:layout>
                <c:manualLayout>
                  <c:x val="5.8055152394775036E-3"/>
                  <c:y val="-3.478260869565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64-4495-B73B-E6C6919DC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Лист1!$L$12:$L$18</c:f>
              <c:strCache>
                <c:ptCount val="7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  <c:pt idx="5">
                  <c:v>закупки у единственного поставщика</c:v>
                </c:pt>
                <c:pt idx="6">
                  <c:v>закупки малого обьема</c:v>
                </c:pt>
              </c:strCache>
            </c:strRef>
          </c:cat>
          <c:val>
            <c:numRef>
              <c:f>Лист1!$M$12:$M$18</c:f>
              <c:numCache>
                <c:formatCode>General</c:formatCode>
                <c:ptCount val="7"/>
                <c:pt idx="0" formatCode="0.0">
                  <c:v>6.5</c:v>
                </c:pt>
                <c:pt idx="1">
                  <c:v>0.3</c:v>
                </c:pt>
                <c:pt idx="2" formatCode="0.0">
                  <c:v>81.900000000000006</c:v>
                </c:pt>
                <c:pt idx="3">
                  <c:v>0.2</c:v>
                </c:pt>
                <c:pt idx="4">
                  <c:v>1.6</c:v>
                </c:pt>
                <c:pt idx="5" formatCode="0.0">
                  <c:v>6.9</c:v>
                </c:pt>
                <c:pt idx="6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6E-436F-9AB2-321624C24812}"/>
            </c:ext>
          </c:extLst>
        </c:ser>
        <c:ser>
          <c:idx val="1"/>
          <c:order val="1"/>
          <c:tx>
            <c:strRef>
              <c:f>Лист1!$N$11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3974336541265674E-2"/>
                  <c:y val="-7.651610215389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6E-436F-9AB2-321624C24812}"/>
                </c:ext>
              </c:extLst>
            </c:dLbl>
            <c:dLbl>
              <c:idx val="1"/>
              <c:layout>
                <c:manualLayout>
                  <c:x val="1.8048410615339749E-2"/>
                  <c:y val="-8.54156563762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6E-436F-9AB2-321624C24812}"/>
                </c:ext>
              </c:extLst>
            </c:dLbl>
            <c:dLbl>
              <c:idx val="2"/>
              <c:layout>
                <c:manualLayout>
                  <c:x val="5.8366326431418293E-2"/>
                  <c:y val="-2.5288172311794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6E-436F-9AB2-321624C24812}"/>
                </c:ext>
              </c:extLst>
            </c:dLbl>
            <c:dLbl>
              <c:idx val="3"/>
              <c:layout>
                <c:manualLayout>
                  <c:x val="2.007784582482738E-2"/>
                  <c:y val="-5.7414156563762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6E-436F-9AB2-321624C24812}"/>
                </c:ext>
              </c:extLst>
            </c:dLbl>
            <c:dLbl>
              <c:idx val="4"/>
              <c:layout>
                <c:manualLayout>
                  <c:x val="2.0618955963837855E-2"/>
                  <c:y val="-6.9678623505395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6E-436F-9AB2-321624C24812}"/>
                </c:ext>
              </c:extLst>
            </c:dLbl>
            <c:dLbl>
              <c:idx val="5"/>
              <c:layout>
                <c:manualLayout>
                  <c:x val="4.4322659667541557E-2"/>
                  <c:y val="-7.7818606007582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6E-436F-9AB2-321624C24812}"/>
                </c:ext>
              </c:extLst>
            </c:dLbl>
            <c:dLbl>
              <c:idx val="6"/>
              <c:layout>
                <c:manualLayout>
                  <c:x val="4.7953494702051132E-2"/>
                  <c:y val="-9.551406074240720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6,9</a:t>
                    </a:r>
                  </a:p>
                </c:rich>
              </c:tx>
              <c:spPr>
                <a:noFill/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456790123456789E-2"/>
                      <c:h val="7.11111111111111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64-4495-B73B-E6C6919DC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Лист1!$L$12:$L$18</c:f>
              <c:strCache>
                <c:ptCount val="7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  <c:pt idx="5">
                  <c:v>закупки у единственного поставщика</c:v>
                </c:pt>
                <c:pt idx="6">
                  <c:v>закупки малого обьема</c:v>
                </c:pt>
              </c:strCache>
            </c:strRef>
          </c:cat>
          <c:val>
            <c:numRef>
              <c:f>Лист1!$N$12:$N$18</c:f>
              <c:numCache>
                <c:formatCode>0.0</c:formatCode>
                <c:ptCount val="7"/>
                <c:pt idx="0" formatCode="General">
                  <c:v>3.3</c:v>
                </c:pt>
                <c:pt idx="1">
                  <c:v>0.8</c:v>
                </c:pt>
                <c:pt idx="2">
                  <c:v>81</c:v>
                </c:pt>
                <c:pt idx="3" formatCode="General">
                  <c:v>0.1</c:v>
                </c:pt>
                <c:pt idx="4">
                  <c:v>0</c:v>
                </c:pt>
                <c:pt idx="5">
                  <c:v>8</c:v>
                </c:pt>
                <c:pt idx="6" formatCode="General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66E-436F-9AB2-321624C248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0"/>
        <c:gapDepth val="160"/>
        <c:shape val="box"/>
        <c:axId val="174058168"/>
        <c:axId val="173918328"/>
        <c:axId val="0"/>
      </c:bar3DChart>
      <c:catAx>
        <c:axId val="174058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85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3918328"/>
        <c:crosses val="autoZero"/>
        <c:auto val="1"/>
        <c:lblAlgn val="ctr"/>
        <c:lblOffset val="100"/>
        <c:noMultiLvlLbl val="0"/>
      </c:catAx>
      <c:valAx>
        <c:axId val="1739183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4058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391697046577451"/>
          <c:y val="0.87927389721446125"/>
          <c:w val="0.64078321124228121"/>
          <c:h val="9.0207772415544826E-2"/>
        </c:manualLayout>
      </c:layout>
      <c:overlay val="0"/>
      <c:txPr>
        <a:bodyPr rot="0" vert="horz"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2700">
      <a:solidFill>
        <a:srgbClr val="7030A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727695297629783E-2"/>
          <c:y val="3.6393713813068655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 бюджета,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86592096548672E-4"/>
                  <c:y val="-1.1960504936882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7642443549518149E-2"/>
                      <c:h val="0.102398937105566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776-4511-8C09-78BF6E4AB66B}"/>
                </c:ext>
              </c:extLst>
            </c:dLbl>
            <c:dLbl>
              <c:idx val="1"/>
              <c:layout>
                <c:manualLayout>
                  <c:x val="0.22290083661417323"/>
                  <c:y val="2.25940090821981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87541824447514"/>
                      <c:h val="0.109015975980669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776-4511-8C09-78BF6E4AB66B}"/>
                </c:ext>
              </c:extLst>
            </c:dLbl>
            <c:dLbl>
              <c:idx val="2"/>
              <c:layout>
                <c:manualLayout>
                  <c:x val="-0.22079410634418362"/>
                  <c:y val="0.578665333499979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27909829028381"/>
                      <c:h val="9.67062450527017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776-4511-8C09-78BF6E4AB66B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</c:strCache>
            </c:strRef>
          </c:cat>
          <c:val>
            <c:numRef>
              <c:f>Лист1!$B$54:$E$54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10</c:v>
                </c:pt>
                <c:pt idx="2">
                  <c:v>285.5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76-4511-8C09-78BF6E4AB6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4581552"/>
        <c:axId val="174581168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Бюджетная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288046764765171"/>
                  <c:y val="-3.2997250229147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76-4511-8C09-78BF6E4AB66B}"/>
                </c:ext>
              </c:extLst>
            </c:dLbl>
            <c:dLbl>
              <c:idx val="1"/>
              <c:layout>
                <c:manualLayout>
                  <c:x val="-6.0690589248862975E-2"/>
                  <c:y val="-0.105608721986674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87257318026086"/>
                      <c:h val="0.102398937105566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776-4511-8C09-78BF6E4AB66B}"/>
                </c:ext>
              </c:extLst>
            </c:dLbl>
            <c:dLbl>
              <c:idx val="2"/>
              <c:layout>
                <c:manualLayout>
                  <c:x val="-1.929831036745407E-2"/>
                  <c:y val="-0.178208390617839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80132636092244E-2"/>
                      <c:h val="8.58563399178080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A776-4511-8C09-78BF6E4AB66B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</c:strCache>
            </c:strRef>
          </c:cat>
          <c:val>
            <c:numRef>
              <c:f>Лист1!$B$53:$E$53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13.8</c:v>
                </c:pt>
                <c:pt idx="2" formatCode="0.0">
                  <c:v>4.3</c:v>
                </c:pt>
                <c:pt idx="3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776-4511-8C09-78BF6E4AB6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580400"/>
        <c:axId val="174580784"/>
      </c:lineChart>
      <c:catAx>
        <c:axId val="17458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580784"/>
        <c:crosses val="autoZero"/>
        <c:auto val="1"/>
        <c:lblAlgn val="ctr"/>
        <c:lblOffset val="100"/>
        <c:noMultiLvlLbl val="0"/>
      </c:catAx>
      <c:valAx>
        <c:axId val="17458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580400"/>
        <c:crosses val="autoZero"/>
        <c:crossBetween val="between"/>
      </c:valAx>
      <c:valAx>
        <c:axId val="174581168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581552"/>
        <c:crosses val="max"/>
        <c:crossBetween val="between"/>
      </c:valAx>
      <c:catAx>
        <c:axId val="17458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581168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511216309441691"/>
          <c:y val="0.11000262467191604"/>
          <c:w val="0.82910528385786642"/>
          <c:h val="0.4151541994750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млн.руб.</c:v>
                </c:pt>
              </c:strCache>
            </c:strRef>
          </c:tx>
          <c:spPr>
            <a:ln w="38100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5578089830759285E-2"/>
                  <c:y val="-0.108572989890459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933433024136076E-2"/>
                      <c:h val="0.130179090389726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162-45F0-B31A-6DD6BA347FC8}"/>
                </c:ext>
              </c:extLst>
            </c:dLbl>
            <c:dLbl>
              <c:idx val="1"/>
              <c:layout>
                <c:manualLayout>
                  <c:x val="-3.5839622421084606E-2"/>
                  <c:y val="-0.108747195244127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868151125026281E-2"/>
                      <c:h val="0.14279738691969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162-45F0-B31A-6DD6BA347FC8}"/>
                </c:ext>
              </c:extLst>
            </c:dLbl>
            <c:dLbl>
              <c:idx val="2"/>
              <c:layout>
                <c:manualLayout>
                  <c:x val="-6.4433125384549483E-2"/>
                  <c:y val="-0.12113332836550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911672391099487E-2"/>
                      <c:h val="0.134385189233049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162-45F0-B31A-6DD6BA347FC8}"/>
                </c:ext>
              </c:extLst>
            </c:dLbl>
            <c:dLbl>
              <c:idx val="3"/>
              <c:layout>
                <c:manualLayout>
                  <c:x val="-6.8886516593112901E-2"/>
                  <c:y val="-7.3169585827472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161,7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3326946891282"/>
                      <c:h val="0.135402270299808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162-45F0-B31A-6DD6BA347FC8}"/>
                </c:ext>
              </c:extLst>
            </c:dLbl>
            <c:dLbl>
              <c:idx val="4"/>
              <c:layout>
                <c:manualLayout>
                  <c:x val="-2.7976354587724014E-2"/>
                  <c:y val="-0.129777689460741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846390491989691E-2"/>
                      <c:h val="0.151209584606340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162-45F0-B31A-6DD6BA347FC8}"/>
                </c:ext>
              </c:extLst>
            </c:dLbl>
            <c:spPr>
              <a:solidFill>
                <a:schemeClr val="lt1"/>
              </a:solidFill>
              <a:ln>
                <a:solidFill>
                  <a:srgbClr val="00206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rgbClr val="002060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90.1</c:v>
                </c:pt>
                <c:pt idx="1">
                  <c:v>65.900000000000006</c:v>
                </c:pt>
                <c:pt idx="2" formatCode="0.0">
                  <c:v>20.399999999999999</c:v>
                </c:pt>
                <c:pt idx="3">
                  <c:v>161.69999999999999</c:v>
                </c:pt>
                <c:pt idx="4">
                  <c:v>22.2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162-45F0-B31A-6DD6BA347F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162-45F0-B31A-6DD6BA347F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5">
                  <a:tint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65000"/>
                </a:schemeClr>
              </a:solidFill>
              <a:ln w="9525">
                <a:solidFill>
                  <a:schemeClr val="accent5">
                    <a:tint val="6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162-45F0-B31A-6DD6BA347FC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08740072"/>
        <c:axId val="208740464"/>
      </c:lineChart>
      <c:catAx>
        <c:axId val="20874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740464"/>
        <c:crosses val="autoZero"/>
        <c:auto val="1"/>
        <c:lblAlgn val="ctr"/>
        <c:lblOffset val="100"/>
        <c:noMultiLvlLbl val="0"/>
      </c:catAx>
      <c:valAx>
        <c:axId val="20874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740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7647426999961089"/>
          <c:y val="0.86794043009817134"/>
          <c:w val="0.1897144858540129"/>
          <c:h val="8.667278553371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68236683180565E-2"/>
          <c:y val="0.11455425830391891"/>
          <c:w val="0.99627491609988383"/>
          <c:h val="0.51847834373400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660033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3.968253968253968E-3"/>
                  <c:y val="-0.1149425287356322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7DED-4DBE-A337-A26234659186}"/>
                </c:ext>
              </c:extLst>
            </c:dLbl>
            <c:dLbl>
              <c:idx val="1"/>
              <c:layout>
                <c:manualLayout>
                  <c:x val="4.0100250626565678E-3"/>
                  <c:y val="-5.172413793103448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DED-4DBE-A337-A26234659186}"/>
                </c:ext>
              </c:extLst>
            </c:dLbl>
            <c:dLbl>
              <c:idx val="2"/>
              <c:layout>
                <c:manualLayout>
                  <c:x val="2.0050618672665917E-3"/>
                  <c:y val="-8.045977011494258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7DED-4DBE-A337-A26234659186}"/>
                </c:ext>
              </c:extLst>
            </c:dLbl>
            <c:dLbl>
              <c:idx val="3"/>
              <c:layout>
                <c:manualLayout>
                  <c:x val="0"/>
                  <c:y val="-7.471264367816092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7DED-4DBE-A337-A26234659186}"/>
                </c:ext>
              </c:extLst>
            </c:dLbl>
            <c:dLbl>
              <c:idx val="4"/>
              <c:layout>
                <c:manualLayout>
                  <c:x val="1.5873015873015872E-2"/>
                  <c:y val="-4.022988505747127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660033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ln>
                        <a:solidFill>
                          <a:srgbClr val="660033"/>
                        </a:solidFill>
                      </a:ln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7DED-4DBE-A337-A262346591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660033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ЖКХ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2.9000000000000001E-2</c:v>
                </c:pt>
                <c:pt idx="1">
                  <c:v>0.11</c:v>
                </c:pt>
                <c:pt idx="2">
                  <c:v>5.1999999999999998E-2</c:v>
                </c:pt>
                <c:pt idx="3">
                  <c:v>5.8000000000000003E-2</c:v>
                </c:pt>
                <c:pt idx="4">
                  <c:v>0.10100000000000001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32-4E4A-A9B1-6E12C5AAD9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741248"/>
        <c:axId val="399240056"/>
      </c:barChart>
      <c:catAx>
        <c:axId val="20874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9240056"/>
        <c:crosses val="autoZero"/>
        <c:auto val="1"/>
        <c:lblAlgn val="ctr"/>
        <c:lblOffset val="100"/>
        <c:noMultiLvlLbl val="0"/>
      </c:catAx>
      <c:valAx>
        <c:axId val="399240056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74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7030A0"/>
      </a:solidFill>
      <a:round/>
    </a:ln>
    <a:effectLst/>
  </c:spPr>
  <c:txPr>
    <a:bodyPr/>
    <a:lstStyle/>
    <a:p>
      <a:pPr>
        <a:defRPr sz="10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0150375939849628E-3"/>
                  <c:y val="-5.024154589371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14-4A12-9F03-ACA6264358B7}"/>
                </c:ext>
              </c:extLst>
            </c:dLbl>
            <c:dLbl>
              <c:idx val="1"/>
              <c:layout>
                <c:manualLayout>
                  <c:x val="-3.007518796992488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14-4A12-9F03-ACA6264358B7}"/>
                </c:ext>
              </c:extLst>
            </c:dLbl>
            <c:dLbl>
              <c:idx val="2"/>
              <c:layout>
                <c:manualLayout>
                  <c:x val="-2.6065162907268097E-2"/>
                  <c:y val="-6.5700483091787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14-4A12-9F03-ACA6264358B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00FF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249</c:v>
                </c:pt>
                <c:pt idx="1">
                  <c:v>3170</c:v>
                </c:pt>
                <c:pt idx="2">
                  <c:v>206.2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0314-4A12-9F03-ACA6264358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6090225563909735E-2"/>
                  <c:y val="-7.3429951690821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14-4A12-9F03-ACA6264358B7}"/>
                </c:ext>
              </c:extLst>
            </c:dLbl>
            <c:dLbl>
              <c:idx val="1"/>
              <c:layout>
                <c:manualLayout>
                  <c:x val="8.6215538847117801E-2"/>
                  <c:y val="-2.7053140096618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14-4A12-9F03-ACA6264358B7}"/>
                </c:ext>
              </c:extLst>
            </c:dLbl>
            <c:dLbl>
              <c:idx val="2"/>
              <c:layout>
                <c:manualLayout>
                  <c:x val="5.4135338345864661E-2"/>
                  <c:y val="-8.8888888888888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14-4A12-9F03-ACA6264358B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8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конкурсов, аукционов, ед.</c:v>
                </c:pt>
                <c:pt idx="1">
                  <c:v>количество заключенных контрактов, ед.</c:v>
                </c:pt>
                <c:pt idx="2">
                  <c:v>стоимость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283</c:v>
                </c:pt>
                <c:pt idx="1">
                  <c:v>3392</c:v>
                </c:pt>
                <c:pt idx="2">
                  <c:v>442.5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314-4A12-9F03-ACA6264358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693544"/>
        <c:axId val="174620880"/>
        <c:axId val="0"/>
      </c:bar3DChart>
      <c:catAx>
        <c:axId val="17469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620880"/>
        <c:crosses val="autoZero"/>
        <c:auto val="1"/>
        <c:lblAlgn val="ctr"/>
        <c:lblOffset val="100"/>
        <c:noMultiLvlLbl val="0"/>
      </c:catAx>
      <c:valAx>
        <c:axId val="17462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693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2630-E4B3-4097-85B6-9D4DE7CE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168</cp:revision>
  <cp:lastPrinted>2019-01-14T11:03:00Z</cp:lastPrinted>
  <dcterms:created xsi:type="dcterms:W3CDTF">2017-09-22T08:09:00Z</dcterms:created>
  <dcterms:modified xsi:type="dcterms:W3CDTF">2019-01-17T06:31:00Z</dcterms:modified>
</cp:coreProperties>
</file>