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46" w:rsidRDefault="00035846" w:rsidP="00035846">
      <w:pPr>
        <w:pStyle w:val="1"/>
      </w:pPr>
      <w:r>
        <w:rPr>
          <w:rStyle w:val="a3"/>
          <w:b w:val="0"/>
          <w:bCs w:val="0"/>
        </w:rPr>
        <w:t>Информационное сообщение Банка России от 26 апреля 2024 г. "Банк России принял решение сохранить ключевую ставку на уровне 16,00% годовых"</w:t>
      </w:r>
    </w:p>
    <w:p w:rsidR="00035846" w:rsidRDefault="00035846" w:rsidP="00035846"/>
    <w:p w:rsidR="00035846" w:rsidRDefault="00035846" w:rsidP="00035846">
      <w:r>
        <w:t xml:space="preserve">Совет директоров Банка России 26 апреля 2024 года принял решение сохранить </w:t>
      </w:r>
      <w:r>
        <w:rPr>
          <w:rStyle w:val="a3"/>
        </w:rPr>
        <w:t>ключевую ставку</w:t>
      </w:r>
      <w:r>
        <w:t xml:space="preserve"> на уровне 16,00% годовых. Текущее инфляционное давление постепенно ослабевает, но остается высоким. Из-за сохраняющегося повышенного внутреннего спроса, превышающего возможности расширения предложения, </w:t>
      </w:r>
      <w:r>
        <w:rPr>
          <w:rStyle w:val="a3"/>
        </w:rPr>
        <w:t>инфляция</w:t>
      </w:r>
      <w:r>
        <w:t xml:space="preserve"> будет возвращаться к цели несколько медленнее, чем Банк России прогнозировал в феврале.</w:t>
      </w:r>
    </w:p>
    <w:p w:rsidR="00035846" w:rsidRDefault="00035846" w:rsidP="00035846">
      <w:r>
        <w:t xml:space="preserve">Возвращение </w:t>
      </w:r>
      <w:r>
        <w:rPr>
          <w:rStyle w:val="a3"/>
        </w:rPr>
        <w:t>инфляции</w:t>
      </w:r>
      <w:r>
        <w:t xml:space="preserve"> к цели и ее дальнейшая стабилизация вблизи 4% предполагают более продолжительный период поддержания жестких денежно-кредитных условий в экономике, чем прогнозировалось ранее. В базовом сценарии Банк России повысил прогноз средней </w:t>
      </w:r>
      <w:r>
        <w:rPr>
          <w:rStyle w:val="a3"/>
        </w:rPr>
        <w:t>ключевой ставки</w:t>
      </w:r>
      <w:r>
        <w:t xml:space="preserve"> в 2024 и 2025 годах до 15,0-16,0% и 10,0-12,0% соответственно. Проводимая Банком России денежно-кредитная политика закрепит процесс </w:t>
      </w:r>
      <w:proofErr w:type="spellStart"/>
      <w:r>
        <w:t>дезинфляции</w:t>
      </w:r>
      <w:proofErr w:type="spellEnd"/>
      <w:r>
        <w:t xml:space="preserve"> в экономике. Согласно прогнозу Банка России, c учетом проводимой денежно-кредитной политики годовая инфляция снизится до 4,3-4,8% в 2024 году и вернется к 4% в 2025 году.</w:t>
      </w:r>
    </w:p>
    <w:p w:rsidR="00035846" w:rsidRDefault="00035846" w:rsidP="00035846">
      <w:r>
        <w:t xml:space="preserve">В марте текущий рост цен с поправкой на сезонность снизился до 4,5% в пересчете на год (после 6,3% в феврале). Это снижение во многом произошло за счет </w:t>
      </w:r>
      <w:proofErr w:type="spellStart"/>
      <w:r>
        <w:t>волатильных</w:t>
      </w:r>
      <w:proofErr w:type="spellEnd"/>
      <w:r>
        <w:t xml:space="preserve"> компонентов. Устойчивое инфляционное давление также уменьшилось, но остается высоким из-за активного роста внутреннего спроса. Показатель базовой </w:t>
      </w:r>
      <w:r>
        <w:rPr>
          <w:rStyle w:val="a3"/>
        </w:rPr>
        <w:t>инфляции</w:t>
      </w:r>
      <w:r>
        <w:t xml:space="preserve"> с поправкой на сезонность в марте уменьшился до 6,1% в пересчете на год (после 6,8% в феврале). Годовая инфляция существенно не менялась с начала марта и, по оценке на 22 апреля, составила 7,8%.</w:t>
      </w:r>
    </w:p>
    <w:p w:rsidR="00035846" w:rsidRDefault="00035846" w:rsidP="00035846">
      <w:r>
        <w:t>Инфляционные ожидания демонстрируют разнонаправленную динамику, но в целом остаются на повышенных уровнях. В апреле инфляционные ожидания населения продолжили снижаться. Ценовые ожидания предприятий, напротив, немного выросли после нескольких месяцев снижения.</w:t>
      </w:r>
    </w:p>
    <w:p w:rsidR="00035846" w:rsidRDefault="00035846" w:rsidP="00035846">
      <w:r>
        <w:t>Оперативные индикаторы указывают на то, что в I квартале 2024 года российская экономика продолжает расти заметно быстрее, чем прогнозировалось. Потребительская активность остается высокой на фоне существенного роста доходов населения и уверенных потребительских настроений. Данные опросов предприятий свидетельствуют о сохранении высокого инвестиционного спроса. Отклонение российской экономики вверх от траектории сбалансированного роста остается значительным. Прогноз по росту ВВП в 2024 году повышен до 2,5-3,5%.</w:t>
      </w:r>
    </w:p>
    <w:p w:rsidR="00035846" w:rsidRDefault="00035846" w:rsidP="00035846">
      <w:r>
        <w:t>Дефицит трудовых ресурсов - главное ограничение для расширения выпуска товаров и услуг. При этом жесткость рынка труда продолжает нарастать. По данным мониторинга предприятий, дефицит рабочей силы вырос в большинстве отраслей.</w:t>
      </w:r>
    </w:p>
    <w:p w:rsidR="00035846" w:rsidRDefault="00035846" w:rsidP="00035846">
      <w:r>
        <w:t>Денежно-кредитные условия значимо не изменились с момента предыдущего заседания Совета директоров Банка России. Продолжается рост номинальных и реальных процентных ставок. Высокие рыночные ставки поддерживают сберегательные настроения. При этом возросшие доходы позволяют населению одновременно наращивать сбережения и потребление.</w:t>
      </w:r>
    </w:p>
    <w:p w:rsidR="00035846" w:rsidRDefault="00035846" w:rsidP="00035846">
      <w:r>
        <w:t>Кредитная активность остается высокой, но динамика кредитования неоднородна по секторам. Необеспеченное потребительское кредитование ускорилось. Ипотечное кредитование продолжает замедляться за счет рыночного сегмента. Корпоративное кредитование увеличилось в марте после умеренного роста в начале года. Но в целом темпы прироста корпоративного кредитования снизились по сравнению с IV кварталом прошлого года (с исключением сезонности).</w:t>
      </w:r>
    </w:p>
    <w:p w:rsidR="00035846" w:rsidRDefault="00035846" w:rsidP="00035846">
      <w:r>
        <w:t xml:space="preserve">На среднесрочном горизонте баланс рисков для </w:t>
      </w:r>
      <w:r>
        <w:rPr>
          <w:rStyle w:val="a3"/>
        </w:rPr>
        <w:t>инфляции</w:t>
      </w:r>
      <w:r>
        <w:t xml:space="preserve"> остается смещенным в сторону </w:t>
      </w:r>
      <w:proofErr w:type="spellStart"/>
      <w:r>
        <w:t>проинфляционных</w:t>
      </w:r>
      <w:proofErr w:type="spellEnd"/>
      <w:r>
        <w:t xml:space="preserve">. Основные </w:t>
      </w:r>
      <w:proofErr w:type="spellStart"/>
      <w:r>
        <w:t>проинфляционные</w:t>
      </w:r>
      <w:proofErr w:type="spellEnd"/>
      <w:r>
        <w:t xml:space="preserve"> риски связаны с изменением условий внешней торговли (в том числе под влиянием геополитической напряженности), с сохранением высоких инфляционных ожиданий и отклонения российской экономики вверх от траектории сбалансированного роста, а также с траекторией нормализации бюджетной политики. </w:t>
      </w:r>
      <w:proofErr w:type="spellStart"/>
      <w:r>
        <w:t>Дезинфляционные</w:t>
      </w:r>
      <w:proofErr w:type="spellEnd"/>
      <w:r>
        <w:t xml:space="preserve"> риски в первую очередь связаны с более быстрым замедлением роста внутреннего </w:t>
      </w:r>
      <w:r>
        <w:lastRenderedPageBreak/>
        <w:t>спроса, чем ожидается в базовом сценарии.</w:t>
      </w:r>
    </w:p>
    <w:p w:rsidR="00035846" w:rsidRDefault="00035846" w:rsidP="00035846">
      <w:r>
        <w:t xml:space="preserve">По итогам заседания Совета директоров по </w:t>
      </w:r>
      <w:r>
        <w:rPr>
          <w:rStyle w:val="a3"/>
        </w:rPr>
        <w:t>ключевой ставке</w:t>
      </w:r>
      <w:r>
        <w:t xml:space="preserve"> 26 апреля 2024 года Банк России опубликовал среднесрочный прогноз. 13 мая 2024 года Банк России опубликует Резюме обсуждения ключевой ставки и Комментарий к среднесрочному прогнозу.</w:t>
      </w:r>
    </w:p>
    <w:p w:rsidR="00035846" w:rsidRDefault="00035846" w:rsidP="00035846">
      <w:r>
        <w:t xml:space="preserve">Следующее заседание Совета директоров Банка России, на котором будет рассматриваться вопрос об уровне </w:t>
      </w:r>
      <w:r>
        <w:rPr>
          <w:rStyle w:val="a3"/>
        </w:rPr>
        <w:t>ключевой ставки</w:t>
      </w:r>
      <w:r>
        <w:t>, запланировано на 7 июня 2024 года. Время публикации пресс-релиза о решении Совета директоров Банка России - 13:30 по московскому времени.</w:t>
      </w:r>
    </w:p>
    <w:p w:rsidR="00035846" w:rsidRDefault="00035846" w:rsidP="00035846"/>
    <w:p w:rsidR="00035846" w:rsidRDefault="00035846" w:rsidP="00035846">
      <w:pPr>
        <w:pStyle w:val="1"/>
      </w:pPr>
      <w:bookmarkStart w:id="0" w:name="sub_446"/>
      <w:r>
        <w:t>Среднесрочный прогноз Банка России</w:t>
      </w:r>
      <w:r>
        <w:br/>
        <w:t>по итогам заседания Совета директоров по ключевой ставке 26 апреля 2024 года</w:t>
      </w:r>
    </w:p>
    <w:bookmarkEnd w:id="0"/>
    <w:p w:rsidR="00035846" w:rsidRDefault="00035846" w:rsidP="00035846"/>
    <w:p w:rsidR="00035846" w:rsidRDefault="00035846" w:rsidP="00035846">
      <w:pPr>
        <w:pStyle w:val="1"/>
      </w:pPr>
      <w:bookmarkStart w:id="1" w:name="sub_447"/>
      <w:r>
        <w:t xml:space="preserve">Основные параметры прогноза Банка России в рамках базового </w:t>
      </w:r>
      <w:proofErr w:type="gramStart"/>
      <w:r>
        <w:t>сценария</w:t>
      </w:r>
      <w:r>
        <w:br/>
        <w:t>(</w:t>
      </w:r>
      <w:proofErr w:type="gramEnd"/>
      <w:r>
        <w:t>прирост в % к предыдущему году, если не указано иное)</w:t>
      </w:r>
    </w:p>
    <w:bookmarkEnd w:id="1"/>
    <w:p w:rsidR="00035846" w:rsidRDefault="00035846" w:rsidP="000358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516"/>
        <w:gridCol w:w="1218"/>
        <w:gridCol w:w="1223"/>
        <w:gridCol w:w="1201"/>
      </w:tblGrid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2023 (факт)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2025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2026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rPr>
                <w:rStyle w:val="a3"/>
              </w:rPr>
              <w:t>Инфляция</w:t>
            </w:r>
            <w:r>
              <w:t>, в %, декабрь к декабрю предыдущего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4,3-4,8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4,0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rPr>
                <w:rStyle w:val="a3"/>
              </w:rPr>
              <w:t>Инфляция</w:t>
            </w:r>
            <w:r>
              <w:t>, в среднем за год, в % к предыдущему году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5,9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6,2-6,4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4,0-4,2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4,0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rPr>
                <w:rStyle w:val="a3"/>
              </w:rPr>
              <w:t>Ключевая ставка</w:t>
            </w:r>
            <w:r>
              <w:t>, в среднем за год, в % годовых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9,9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15,0-16,0</w:t>
            </w:r>
            <w:r>
              <w:rPr>
                <w:vertAlign w:val="superscript"/>
              </w:rPr>
              <w:t> </w:t>
            </w:r>
            <w:r>
              <w:rPr>
                <w:rStyle w:val="a3"/>
                <w:vertAlign w:val="superscript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10,0-12,0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6,0-7,0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Валовой внутренний продукт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2,5-3,5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1,0-2,0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1,5-2,5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- в %, IV квартал к IV кварталу предыдущего года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4,9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0,5-1,5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1,5-2,5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1,5-2,5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Расходы на конечное потребление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6,6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2,5-3,5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0,0-1,0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1,5-2,5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- домашних хозяйств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6,5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2,5-3,5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0,0-1,0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1,5-2,5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Валовое накопление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15,8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3,0-5,0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0,0-2,0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1,0-3,0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- основного капитала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8,8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3,0-5,0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0,0-2,0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1,0-3,0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Экспорт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 xml:space="preserve">- </w:t>
            </w:r>
            <w:r>
              <w:rPr>
                <w:rStyle w:val="a3"/>
                <w:vertAlign w:val="superscript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(-0,5)-1,5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1,5-3,5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1,0-3,0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Импорт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 xml:space="preserve">- </w:t>
            </w:r>
            <w:r>
              <w:rPr>
                <w:rStyle w:val="a3"/>
                <w:vertAlign w:val="superscript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1,0-3,0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(-1,0)-1,0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1,0-3,0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Денежная масса в национальном определении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19,4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10-15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5-10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6-11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Требования банковской системы к экономике в рублях и иностранной валюте</w:t>
            </w:r>
            <w:r>
              <w:rPr>
                <w:vertAlign w:val="superscript"/>
              </w:rPr>
              <w:t> </w:t>
            </w:r>
            <w:r>
              <w:rPr>
                <w:rStyle w:val="a3"/>
                <w:vertAlign w:val="superscript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22,7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8-13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7-12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8-13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- к организациям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22,6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8-13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7-12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8-13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- к населению, в том числе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23,0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7-12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7-12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8-13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ипотечные жилищные кредиты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30,1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7-12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10-15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10-15</w:t>
            </w:r>
          </w:p>
        </w:tc>
      </w:tr>
    </w:tbl>
    <w:p w:rsidR="00035846" w:rsidRDefault="00035846" w:rsidP="00035846"/>
    <w:p w:rsidR="00035846" w:rsidRDefault="00035846" w:rsidP="00035846">
      <w:pPr>
        <w:pStyle w:val="1"/>
      </w:pPr>
      <w:bookmarkStart w:id="2" w:name="sub_448"/>
      <w:r>
        <w:t>Показатели платежного баланса России в рамках базового сценария</w:t>
      </w:r>
      <w:r>
        <w:rPr>
          <w:vertAlign w:val="superscript"/>
        </w:rPr>
        <w:t> </w:t>
      </w:r>
      <w:r>
        <w:rPr>
          <w:rStyle w:val="a3"/>
          <w:b w:val="0"/>
          <w:bCs w:val="0"/>
          <w:vertAlign w:val="superscript"/>
        </w:rPr>
        <w:t>4</w:t>
      </w:r>
      <w:r>
        <w:rPr>
          <w:vertAlign w:val="superscript"/>
        </w:rPr>
        <w:br/>
      </w:r>
      <w:r>
        <w:t>(млрд долл. США, если не указано иное)</w:t>
      </w:r>
    </w:p>
    <w:bookmarkEnd w:id="2"/>
    <w:p w:rsidR="00035846" w:rsidRDefault="00035846" w:rsidP="000358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1552"/>
        <w:gridCol w:w="1254"/>
        <w:gridCol w:w="1260"/>
        <w:gridCol w:w="1287"/>
      </w:tblGrid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2023 (факт)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2026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Счет текущих операций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33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Торговый баланс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108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Экспорт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424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426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427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Импорт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303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309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319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Баланс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-33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lastRenderedPageBreak/>
              <w:t>Экспорт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46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Импорт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79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Баланс первичных и вторичных доходов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-41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-43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Сальдо счета текущих операций и счета операций с капиталом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33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Сальдо финансового счета, исключая резервные активы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29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Чистое принятие обязательств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10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Чистое приобретение финансовых активов, исключая резервные активы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65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51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39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Чистые ошибки и пропуски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0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>Изменение резервных активов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-1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4</w:t>
            </w:r>
          </w:p>
        </w:tc>
      </w:tr>
      <w:tr w:rsidR="00035846" w:rsidTr="008F392C">
        <w:tblPrEx>
          <w:tblCellMar>
            <w:top w:w="0" w:type="dxa"/>
            <w:bottom w:w="0" w:type="dxa"/>
          </w:tblCellMar>
        </w:tblPrEx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6"/>
            </w:pPr>
            <w:r>
              <w:t xml:space="preserve">Цена нефти </w:t>
            </w:r>
            <w:proofErr w:type="spellStart"/>
            <w:r>
              <w:t>Brent</w:t>
            </w:r>
            <w:proofErr w:type="spellEnd"/>
            <w:r>
              <w:t>, в среднем за год, долл. США за баррель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80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846" w:rsidRDefault="00035846" w:rsidP="008F392C">
            <w:pPr>
              <w:pStyle w:val="a4"/>
              <w:jc w:val="center"/>
            </w:pPr>
            <w:r>
              <w:t>70</w:t>
            </w:r>
          </w:p>
        </w:tc>
      </w:tr>
    </w:tbl>
    <w:p w:rsidR="00035846" w:rsidRDefault="00035846" w:rsidP="00035846"/>
    <w:p w:rsidR="00035846" w:rsidRDefault="00035846" w:rsidP="00035846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35846" w:rsidRDefault="00035846" w:rsidP="00035846">
      <w:pPr>
        <w:pStyle w:val="a7"/>
      </w:pPr>
      <w:bookmarkStart w:id="3" w:name="sub_111"/>
      <w:r>
        <w:rPr>
          <w:vertAlign w:val="superscript"/>
        </w:rPr>
        <w:t>1</w:t>
      </w:r>
      <w:r>
        <w:t xml:space="preserve"> </w:t>
      </w:r>
      <w:proofErr w:type="gramStart"/>
      <w:r>
        <w:t>С</w:t>
      </w:r>
      <w:proofErr w:type="gramEnd"/>
      <w:r>
        <w:t xml:space="preserve"> учетом того, что с 1 января по 26 апреля 2024 года средняя </w:t>
      </w:r>
      <w:r>
        <w:rPr>
          <w:rStyle w:val="a3"/>
        </w:rPr>
        <w:t>ключевая ставка</w:t>
      </w:r>
      <w:r>
        <w:t xml:space="preserve"> равна 16,0%, с 27 апреля до конца 2024 года средняя ключевая ставка прогнозируется в диапазоне 14,5-16,0%. Дополнительная информация о формате прогноза ключевой ставки представлена в методологическом комментарии [http://cbr.ru/Content/Document/File/120322/comment_20210422.pdf].</w:t>
      </w:r>
    </w:p>
    <w:p w:rsidR="00035846" w:rsidRDefault="00035846" w:rsidP="00035846">
      <w:pPr>
        <w:pStyle w:val="a7"/>
      </w:pPr>
      <w:bookmarkStart w:id="4" w:name="sub_222"/>
      <w:bookmarkEnd w:id="3"/>
      <w:r>
        <w:rPr>
          <w:vertAlign w:val="superscript"/>
        </w:rPr>
        <w:t>2</w:t>
      </w:r>
      <w:r>
        <w:t xml:space="preserve"> Данные по использованию ВВП за 2023 год в части экспорта и импорта пока не опубликованы Росстатом.</w:t>
      </w:r>
    </w:p>
    <w:p w:rsidR="00035846" w:rsidRDefault="00035846" w:rsidP="00035846">
      <w:pPr>
        <w:pStyle w:val="a7"/>
      </w:pPr>
      <w:bookmarkStart w:id="5" w:name="sub_333"/>
      <w:bookmarkEnd w:id="4"/>
      <w:r>
        <w:rPr>
          <w:vertAlign w:val="superscript"/>
        </w:rPr>
        <w:t>3</w:t>
      </w:r>
      <w:r>
        <w:t xml:space="preserve"> Под требованиями банковской системы к экономике подразумеваются все требования банковской системы к нефинансовым и финансовым организациям и населению в рублях, иностранной валюте и драгоценных металлах, включая предоставленные кредиты (в том числе просроченную задолженность), просроченные проценты по кредитам, вложения кредитных организаций в долговые и долевые ценные бумаги и векселя, а также прочие формы участия в капитале нефинансовых и финансовых организаций и прочую дебиторскую задолженность по расчетным операциям с нефинансовыми и финансовыми организациями и населением.</w:t>
      </w:r>
    </w:p>
    <w:bookmarkEnd w:id="5"/>
    <w:p w:rsidR="00035846" w:rsidRDefault="00035846" w:rsidP="00035846">
      <w:pPr>
        <w:pStyle w:val="a7"/>
      </w:pPr>
      <w:r>
        <w:t xml:space="preserve">Темпы прироста требований приведены с исключением эффекта валютной переоценки. Для исключения эффекта валютной переоценки прирост требований в иностранной валюте и драгоценных металлах пересчитывается в рубли по </w:t>
      </w:r>
      <w:proofErr w:type="spellStart"/>
      <w:r>
        <w:t>среднехронологическому</w:t>
      </w:r>
      <w:proofErr w:type="spellEnd"/>
      <w:r>
        <w:t xml:space="preserve"> </w:t>
      </w:r>
      <w:r>
        <w:rPr>
          <w:rStyle w:val="a3"/>
        </w:rPr>
        <w:t>курсу</w:t>
      </w:r>
      <w:r>
        <w:t xml:space="preserve"> рубля к доллару США за соответствующий период. По ипотечным жилищным кредитам - без учета приобретенных банками прав требования.</w:t>
      </w:r>
    </w:p>
    <w:p w:rsidR="00035846" w:rsidRDefault="00035846" w:rsidP="00035846">
      <w:pPr>
        <w:pStyle w:val="a7"/>
      </w:pPr>
      <w:bookmarkStart w:id="6" w:name="sub_444"/>
      <w:r>
        <w:rPr>
          <w:vertAlign w:val="superscript"/>
        </w:rPr>
        <w:t>4</w:t>
      </w:r>
      <w:r>
        <w:t xml:space="preserve"> </w:t>
      </w:r>
      <w:proofErr w:type="gramStart"/>
      <w:r>
        <w:t>В</w:t>
      </w:r>
      <w:proofErr w:type="gramEnd"/>
      <w:r>
        <w:t xml:space="preserve"> знаках шестого издания "Руководства по платежному балансу и международной инвестиционной позиции" (РПБ6). В финансовом счете "+" - чистое кредитование, "-" - чистое заимствование. Из-за округления итоговые значения могут отличаться от суммы соответствующих величин.</w:t>
      </w:r>
    </w:p>
    <w:bookmarkEnd w:id="6"/>
    <w:p w:rsidR="00035846" w:rsidRDefault="00035846" w:rsidP="00035846"/>
    <w:p w:rsidR="00663A9F" w:rsidRDefault="00663A9F"/>
    <w:sectPr w:rsidR="00663A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D5" w:rsidRDefault="005A53D5" w:rsidP="00035846">
      <w:r>
        <w:separator/>
      </w:r>
    </w:p>
  </w:endnote>
  <w:endnote w:type="continuationSeparator" w:id="0">
    <w:p w:rsidR="005A53D5" w:rsidRDefault="005A53D5" w:rsidP="000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46" w:rsidRDefault="0003584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A53D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A53D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A53D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46" w:rsidRDefault="000358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D5" w:rsidRDefault="005A53D5" w:rsidP="00035846">
      <w:r>
        <w:separator/>
      </w:r>
    </w:p>
  </w:footnote>
  <w:footnote w:type="continuationSeparator" w:id="0">
    <w:p w:rsidR="005A53D5" w:rsidRDefault="005A53D5" w:rsidP="0003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46" w:rsidRDefault="0003584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035846" w:rsidRDefault="005A53D5" w:rsidP="00035846">
    <w:pPr>
      <w:pStyle w:val="a8"/>
    </w:pPr>
    <w:bookmarkStart w:id="7" w:name="_GoBack"/>
    <w:bookmarkEnd w:id="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46" w:rsidRDefault="0003584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46"/>
    <w:rsid w:val="00035846"/>
    <w:rsid w:val="005A53D5"/>
    <w:rsid w:val="006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F32FA2-46A6-4C21-B686-2DF88198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584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58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35846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3584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3584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035846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035846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358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584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58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584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2024-05-02T05:26:00Z</dcterms:created>
  <dcterms:modified xsi:type="dcterms:W3CDTF">2024-05-02T05:27:00Z</dcterms:modified>
</cp:coreProperties>
</file>